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1C15" w14:textId="2BA1A8D2" w:rsidR="003E303F" w:rsidRPr="001E29AE" w:rsidRDefault="007E004E" w:rsidP="007E004E">
      <w:r w:rsidRPr="001E29AE">
        <w:rPr>
          <w:noProof/>
        </w:rPr>
        <w:drawing>
          <wp:inline distT="0" distB="0" distL="0" distR="0" wp14:anchorId="73D64A9D" wp14:editId="1FA714A1">
            <wp:extent cx="3708000" cy="585420"/>
            <wp:effectExtent l="0" t="0" r="0" b="0"/>
            <wp:docPr id="1445878163" name="Picture 1"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78163" name="Picture 1" descr="Energy Australia and EDF Power Solutions logo locku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8000" cy="585420"/>
                    </a:xfrm>
                    <a:prstGeom prst="rect">
                      <a:avLst/>
                    </a:prstGeom>
                  </pic:spPr>
                </pic:pic>
              </a:graphicData>
            </a:graphic>
          </wp:inline>
        </w:drawing>
      </w:r>
      <w:r w:rsidR="003E303F" w:rsidRPr="001E29AE">
        <w:rPr>
          <w:noProof/>
        </w:rPr>
        <w:drawing>
          <wp:anchor distT="0" distB="0" distL="114300" distR="114300" simplePos="0" relativeHeight="251658240" behindDoc="1" locked="1" layoutInCell="1" allowOverlap="1" wp14:anchorId="2840CF5F" wp14:editId="114BFE11">
            <wp:simplePos x="0" y="0"/>
            <wp:positionH relativeFrom="page">
              <wp:align>left</wp:align>
            </wp:positionH>
            <wp:positionV relativeFrom="page">
              <wp:align>top</wp:align>
            </wp:positionV>
            <wp:extent cx="7559640" cy="2944440"/>
            <wp:effectExtent l="0" t="0" r="3810" b="8890"/>
            <wp:wrapNone/>
            <wp:docPr id="155431231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2311"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flipH="1">
                      <a:off x="0" y="0"/>
                      <a:ext cx="7559640" cy="2944440"/>
                    </a:xfrm>
                    <a:prstGeom prst="rect">
                      <a:avLst/>
                    </a:prstGeom>
                  </pic:spPr>
                </pic:pic>
              </a:graphicData>
            </a:graphic>
            <wp14:sizeRelH relativeFrom="margin">
              <wp14:pctWidth>0</wp14:pctWidth>
            </wp14:sizeRelH>
            <wp14:sizeRelV relativeFrom="margin">
              <wp14:pctHeight>0</wp14:pctHeight>
            </wp14:sizeRelV>
          </wp:anchor>
        </w:drawing>
      </w:r>
    </w:p>
    <w:p w14:paraId="5E18DA37" w14:textId="1298E5C9" w:rsidR="003E303F" w:rsidRPr="001E29AE" w:rsidRDefault="007E004E" w:rsidP="00B64339">
      <w:pPr>
        <w:pStyle w:val="Subtitle"/>
        <w:spacing w:before="360"/>
      </w:pPr>
      <w:r w:rsidRPr="001E29AE">
        <w:t>Lake Lyell Pumped Hydro</w:t>
      </w:r>
    </w:p>
    <w:p w14:paraId="3DE2C693" w14:textId="0E8762C1" w:rsidR="007E004E" w:rsidRPr="001E29AE" w:rsidRDefault="00000000" w:rsidP="00B64339">
      <w:pPr>
        <w:pStyle w:val="Title"/>
        <w:spacing w:after="820"/>
      </w:pPr>
      <w:sdt>
        <w:sdtPr>
          <w:alias w:val="Title"/>
          <w:tag w:val=""/>
          <w:id w:val="77026864"/>
          <w:placeholder>
            <w:docPart w:val="4462343E3D2B4F769CB4E06940B9791C"/>
          </w:placeholder>
          <w:dataBinding w:prefixMappings="xmlns:ns0='http://purl.org/dc/elements/1.1/' xmlns:ns1='http://schemas.openxmlformats.org/package/2006/metadata/core-properties' " w:xpath="/ns1:coreProperties[1]/ns0:title[1]" w:storeItemID="{6C3C8BC8-F283-45AE-878A-BAB7291924A1}"/>
          <w:text/>
        </w:sdtPr>
        <w:sdtContent>
          <w:r w:rsidR="00B64339" w:rsidRPr="001E29AE">
            <w:t>How community input has informed the Project to date</w:t>
          </w:r>
        </w:sdtContent>
      </w:sdt>
    </w:p>
    <w:p w14:paraId="4AF9DE5B" w14:textId="218CE713" w:rsidR="007E004E" w:rsidRPr="001E29AE" w:rsidRDefault="007E004E" w:rsidP="007E004E">
      <w:pPr>
        <w:pStyle w:val="AcknowledgementH2Shaded"/>
      </w:pPr>
      <w:r w:rsidRPr="001E29AE">
        <w:t>Acknowledgement</w:t>
      </w:r>
    </w:p>
    <w:p w14:paraId="788FB50F" w14:textId="58526217" w:rsidR="007E004E" w:rsidRPr="001E29AE" w:rsidRDefault="007E004E" w:rsidP="00C679EF">
      <w:pPr>
        <w:pStyle w:val="AcknowledgementText"/>
      </w:pPr>
      <w:proofErr w:type="spellStart"/>
      <w:r w:rsidRPr="001E29AE">
        <w:t>EnergyAustralia</w:t>
      </w:r>
      <w:proofErr w:type="spellEnd"/>
      <w:r w:rsidRPr="001E29AE">
        <w:t xml:space="preserve"> and EDF power solutions Australia acknowledge that the site of the proposed Lake Lyell Pumped Hydro project is on the traditional Country of the Wiradjuri People. We recognise their continued connection to land, waterways and community, and we pay our respects to Elders past and present.</w:t>
      </w:r>
    </w:p>
    <w:sdt>
      <w:sdtPr>
        <w:rPr>
          <w:rFonts w:asciiTheme="minorHAnsi" w:eastAsiaTheme="minorHAnsi" w:hAnsiTheme="minorHAnsi" w:cstheme="minorBidi"/>
          <w:b w:val="0"/>
          <w:color w:val="000000" w:themeColor="text1"/>
          <w:sz w:val="20"/>
          <w:szCs w:val="20"/>
          <w:lang w:val="en-AU"/>
        </w:rPr>
        <w:id w:val="1299727342"/>
        <w:docPartObj>
          <w:docPartGallery w:val="Table of Contents"/>
          <w:docPartUnique/>
        </w:docPartObj>
      </w:sdtPr>
      <w:sdtEndPr>
        <w:rPr>
          <w:bCs/>
        </w:rPr>
      </w:sdtEndPr>
      <w:sdtContent>
        <w:p w14:paraId="60E720F2" w14:textId="10C19A53" w:rsidR="006D3730" w:rsidRPr="001E29AE" w:rsidRDefault="006D3730">
          <w:pPr>
            <w:pStyle w:val="TOCHeading"/>
            <w:rPr>
              <w:lang w:val="en-AU"/>
            </w:rPr>
          </w:pPr>
          <w:r w:rsidRPr="001E29AE">
            <w:rPr>
              <w:lang w:val="en-AU"/>
            </w:rPr>
            <w:t>Contents</w:t>
          </w:r>
        </w:p>
        <w:p w14:paraId="0136F9AF" w14:textId="59305789" w:rsidR="001E29AE" w:rsidRDefault="00C679EF">
          <w:pPr>
            <w:pStyle w:val="TOC2"/>
            <w:rPr>
              <w:rFonts w:eastAsiaTheme="minorEastAsia"/>
              <w:noProof/>
              <w:color w:val="auto"/>
              <w:kern w:val="2"/>
              <w:sz w:val="24"/>
              <w:szCs w:val="24"/>
              <w:lang w:eastAsia="en-AU"/>
              <w14:ligatures w14:val="standardContextual"/>
            </w:rPr>
          </w:pPr>
          <w:r w:rsidRPr="001E29AE">
            <w:fldChar w:fldCharType="begin"/>
          </w:r>
          <w:r w:rsidRPr="001E29AE">
            <w:instrText xml:space="preserve"> TOC \h \z \t "Heading 1,1,Heading 2,2,Heading 2 Shaded,2,Heading 1 Shaded,1" </w:instrText>
          </w:r>
          <w:r w:rsidRPr="001E29AE">
            <w:fldChar w:fldCharType="separate"/>
          </w:r>
          <w:hyperlink w:anchor="_Toc213403407" w:history="1">
            <w:r w:rsidR="001E29AE" w:rsidRPr="0012243E">
              <w:rPr>
                <w:rStyle w:val="Hyperlink"/>
                <w:noProof/>
              </w:rPr>
              <w:t>Community consultation undertaken to date</w:t>
            </w:r>
            <w:r w:rsidR="001E29AE">
              <w:rPr>
                <w:noProof/>
                <w:webHidden/>
              </w:rPr>
              <w:tab/>
            </w:r>
            <w:r w:rsidR="001E29AE">
              <w:rPr>
                <w:noProof/>
                <w:webHidden/>
              </w:rPr>
              <w:fldChar w:fldCharType="begin"/>
            </w:r>
            <w:r w:rsidR="001E29AE">
              <w:rPr>
                <w:noProof/>
                <w:webHidden/>
              </w:rPr>
              <w:instrText xml:space="preserve"> PAGEREF _Toc213403407 \h </w:instrText>
            </w:r>
            <w:r w:rsidR="001E29AE">
              <w:rPr>
                <w:noProof/>
                <w:webHidden/>
              </w:rPr>
            </w:r>
            <w:r w:rsidR="001E29AE">
              <w:rPr>
                <w:noProof/>
                <w:webHidden/>
              </w:rPr>
              <w:fldChar w:fldCharType="separate"/>
            </w:r>
            <w:r w:rsidR="001E29AE">
              <w:rPr>
                <w:noProof/>
                <w:webHidden/>
              </w:rPr>
              <w:t>2</w:t>
            </w:r>
            <w:r w:rsidR="001E29AE">
              <w:rPr>
                <w:noProof/>
                <w:webHidden/>
              </w:rPr>
              <w:fldChar w:fldCharType="end"/>
            </w:r>
          </w:hyperlink>
        </w:p>
        <w:p w14:paraId="35154C8C" w14:textId="0AEDDD71" w:rsidR="001E29AE" w:rsidRDefault="001E29AE">
          <w:pPr>
            <w:pStyle w:val="TOC2"/>
            <w:rPr>
              <w:rFonts w:eastAsiaTheme="minorEastAsia"/>
              <w:noProof/>
              <w:color w:val="auto"/>
              <w:kern w:val="2"/>
              <w:sz w:val="24"/>
              <w:szCs w:val="24"/>
              <w:lang w:eastAsia="en-AU"/>
              <w14:ligatures w14:val="standardContextual"/>
            </w:rPr>
          </w:pPr>
          <w:hyperlink w:anchor="_Toc213403408" w:history="1">
            <w:r w:rsidRPr="0012243E">
              <w:rPr>
                <w:rStyle w:val="Hyperlink"/>
                <w:noProof/>
              </w:rPr>
              <w:t>Identified impacts and proposed mitigations</w:t>
            </w:r>
            <w:r>
              <w:rPr>
                <w:noProof/>
                <w:webHidden/>
              </w:rPr>
              <w:tab/>
            </w:r>
            <w:r>
              <w:rPr>
                <w:noProof/>
                <w:webHidden/>
              </w:rPr>
              <w:fldChar w:fldCharType="begin"/>
            </w:r>
            <w:r>
              <w:rPr>
                <w:noProof/>
                <w:webHidden/>
              </w:rPr>
              <w:instrText xml:space="preserve"> PAGEREF _Toc213403408 \h </w:instrText>
            </w:r>
            <w:r>
              <w:rPr>
                <w:noProof/>
                <w:webHidden/>
              </w:rPr>
            </w:r>
            <w:r>
              <w:rPr>
                <w:noProof/>
                <w:webHidden/>
              </w:rPr>
              <w:fldChar w:fldCharType="separate"/>
            </w:r>
            <w:r>
              <w:rPr>
                <w:noProof/>
                <w:webHidden/>
              </w:rPr>
              <w:t>2</w:t>
            </w:r>
            <w:r>
              <w:rPr>
                <w:noProof/>
                <w:webHidden/>
              </w:rPr>
              <w:fldChar w:fldCharType="end"/>
            </w:r>
          </w:hyperlink>
        </w:p>
        <w:p w14:paraId="0D266384" w14:textId="70383C10" w:rsidR="001E29AE" w:rsidRDefault="001E29AE">
          <w:pPr>
            <w:pStyle w:val="TOC2"/>
            <w:rPr>
              <w:rFonts w:eastAsiaTheme="minorEastAsia"/>
              <w:noProof/>
              <w:color w:val="auto"/>
              <w:kern w:val="2"/>
              <w:sz w:val="24"/>
              <w:szCs w:val="24"/>
              <w:lang w:eastAsia="en-AU"/>
              <w14:ligatures w14:val="standardContextual"/>
            </w:rPr>
          </w:pPr>
          <w:hyperlink w:anchor="_Toc213403409" w:history="1">
            <w:r w:rsidRPr="0012243E">
              <w:rPr>
                <w:rStyle w:val="Hyperlink"/>
                <w:noProof/>
              </w:rPr>
              <w:t>What is a consultation report?</w:t>
            </w:r>
            <w:r>
              <w:rPr>
                <w:noProof/>
                <w:webHidden/>
              </w:rPr>
              <w:tab/>
            </w:r>
            <w:r>
              <w:rPr>
                <w:noProof/>
                <w:webHidden/>
              </w:rPr>
              <w:fldChar w:fldCharType="begin"/>
            </w:r>
            <w:r>
              <w:rPr>
                <w:noProof/>
                <w:webHidden/>
              </w:rPr>
              <w:instrText xml:space="preserve"> PAGEREF _Toc213403409 \h </w:instrText>
            </w:r>
            <w:r>
              <w:rPr>
                <w:noProof/>
                <w:webHidden/>
              </w:rPr>
            </w:r>
            <w:r>
              <w:rPr>
                <w:noProof/>
                <w:webHidden/>
              </w:rPr>
              <w:fldChar w:fldCharType="separate"/>
            </w:r>
            <w:r>
              <w:rPr>
                <w:noProof/>
                <w:webHidden/>
              </w:rPr>
              <w:t>2</w:t>
            </w:r>
            <w:r>
              <w:rPr>
                <w:noProof/>
                <w:webHidden/>
              </w:rPr>
              <w:fldChar w:fldCharType="end"/>
            </w:r>
          </w:hyperlink>
        </w:p>
        <w:p w14:paraId="14C476F7" w14:textId="1D2E35ED" w:rsidR="001E29AE" w:rsidRDefault="001E29AE">
          <w:pPr>
            <w:pStyle w:val="TOC2"/>
            <w:rPr>
              <w:rFonts w:eastAsiaTheme="minorEastAsia"/>
              <w:noProof/>
              <w:color w:val="auto"/>
              <w:kern w:val="2"/>
              <w:sz w:val="24"/>
              <w:szCs w:val="24"/>
              <w:lang w:eastAsia="en-AU"/>
              <w14:ligatures w14:val="standardContextual"/>
            </w:rPr>
          </w:pPr>
          <w:hyperlink w:anchor="_Toc213403410" w:history="1">
            <w:r w:rsidRPr="0012243E">
              <w:rPr>
                <w:rStyle w:val="Hyperlink"/>
                <w:noProof/>
              </w:rPr>
              <w:t>How is a consultation report developed?</w:t>
            </w:r>
            <w:r>
              <w:rPr>
                <w:noProof/>
                <w:webHidden/>
              </w:rPr>
              <w:tab/>
            </w:r>
            <w:r>
              <w:rPr>
                <w:noProof/>
                <w:webHidden/>
              </w:rPr>
              <w:fldChar w:fldCharType="begin"/>
            </w:r>
            <w:r>
              <w:rPr>
                <w:noProof/>
                <w:webHidden/>
              </w:rPr>
              <w:instrText xml:space="preserve"> PAGEREF _Toc213403410 \h </w:instrText>
            </w:r>
            <w:r>
              <w:rPr>
                <w:noProof/>
                <w:webHidden/>
              </w:rPr>
            </w:r>
            <w:r>
              <w:rPr>
                <w:noProof/>
                <w:webHidden/>
              </w:rPr>
              <w:fldChar w:fldCharType="separate"/>
            </w:r>
            <w:r>
              <w:rPr>
                <w:noProof/>
                <w:webHidden/>
              </w:rPr>
              <w:t>3</w:t>
            </w:r>
            <w:r>
              <w:rPr>
                <w:noProof/>
                <w:webHidden/>
              </w:rPr>
              <w:fldChar w:fldCharType="end"/>
            </w:r>
          </w:hyperlink>
        </w:p>
        <w:p w14:paraId="50149FCF" w14:textId="34959872" w:rsidR="001E29AE" w:rsidRDefault="001E29AE">
          <w:pPr>
            <w:pStyle w:val="TOC2"/>
            <w:rPr>
              <w:rFonts w:eastAsiaTheme="minorEastAsia"/>
              <w:noProof/>
              <w:color w:val="auto"/>
              <w:kern w:val="2"/>
              <w:sz w:val="24"/>
              <w:szCs w:val="24"/>
              <w:lang w:eastAsia="en-AU"/>
              <w14:ligatures w14:val="standardContextual"/>
            </w:rPr>
          </w:pPr>
          <w:hyperlink w:anchor="_Toc213403411" w:history="1">
            <w:r w:rsidRPr="0012243E">
              <w:rPr>
                <w:rStyle w:val="Hyperlink"/>
                <w:noProof/>
              </w:rPr>
              <w:t>Who has been engaged and consulted?</w:t>
            </w:r>
            <w:r>
              <w:rPr>
                <w:noProof/>
                <w:webHidden/>
              </w:rPr>
              <w:tab/>
            </w:r>
            <w:r>
              <w:rPr>
                <w:noProof/>
                <w:webHidden/>
              </w:rPr>
              <w:fldChar w:fldCharType="begin"/>
            </w:r>
            <w:r>
              <w:rPr>
                <w:noProof/>
                <w:webHidden/>
              </w:rPr>
              <w:instrText xml:space="preserve"> PAGEREF _Toc213403411 \h </w:instrText>
            </w:r>
            <w:r>
              <w:rPr>
                <w:noProof/>
                <w:webHidden/>
              </w:rPr>
            </w:r>
            <w:r>
              <w:rPr>
                <w:noProof/>
                <w:webHidden/>
              </w:rPr>
              <w:fldChar w:fldCharType="separate"/>
            </w:r>
            <w:r>
              <w:rPr>
                <w:noProof/>
                <w:webHidden/>
              </w:rPr>
              <w:t>3</w:t>
            </w:r>
            <w:r>
              <w:rPr>
                <w:noProof/>
                <w:webHidden/>
              </w:rPr>
              <w:fldChar w:fldCharType="end"/>
            </w:r>
          </w:hyperlink>
        </w:p>
        <w:p w14:paraId="4243A1A0" w14:textId="09C092EB" w:rsidR="001E29AE" w:rsidRDefault="001E29AE">
          <w:pPr>
            <w:pStyle w:val="TOC2"/>
            <w:rPr>
              <w:rFonts w:eastAsiaTheme="minorEastAsia"/>
              <w:noProof/>
              <w:color w:val="auto"/>
              <w:kern w:val="2"/>
              <w:sz w:val="24"/>
              <w:szCs w:val="24"/>
              <w:lang w:eastAsia="en-AU"/>
              <w14:ligatures w14:val="standardContextual"/>
            </w:rPr>
          </w:pPr>
          <w:hyperlink w:anchor="_Toc213403412" w:history="1">
            <w:r w:rsidRPr="0012243E">
              <w:rPr>
                <w:rStyle w:val="Hyperlink"/>
                <w:noProof/>
              </w:rPr>
              <w:t>What have been the activities and the involvement and influence?</w:t>
            </w:r>
            <w:r>
              <w:rPr>
                <w:noProof/>
                <w:webHidden/>
              </w:rPr>
              <w:tab/>
            </w:r>
            <w:r>
              <w:rPr>
                <w:noProof/>
                <w:webHidden/>
              </w:rPr>
              <w:fldChar w:fldCharType="begin"/>
            </w:r>
            <w:r>
              <w:rPr>
                <w:noProof/>
                <w:webHidden/>
              </w:rPr>
              <w:instrText xml:space="preserve"> PAGEREF _Toc213403412 \h </w:instrText>
            </w:r>
            <w:r>
              <w:rPr>
                <w:noProof/>
                <w:webHidden/>
              </w:rPr>
            </w:r>
            <w:r>
              <w:rPr>
                <w:noProof/>
                <w:webHidden/>
              </w:rPr>
              <w:fldChar w:fldCharType="separate"/>
            </w:r>
            <w:r>
              <w:rPr>
                <w:noProof/>
                <w:webHidden/>
              </w:rPr>
              <w:t>3</w:t>
            </w:r>
            <w:r>
              <w:rPr>
                <w:noProof/>
                <w:webHidden/>
              </w:rPr>
              <w:fldChar w:fldCharType="end"/>
            </w:r>
          </w:hyperlink>
        </w:p>
        <w:p w14:paraId="379C5BFB" w14:textId="5987A36D" w:rsidR="001E29AE" w:rsidRDefault="001E29AE">
          <w:pPr>
            <w:pStyle w:val="TOC2"/>
            <w:rPr>
              <w:rFonts w:eastAsiaTheme="minorEastAsia"/>
              <w:noProof/>
              <w:color w:val="auto"/>
              <w:kern w:val="2"/>
              <w:sz w:val="24"/>
              <w:szCs w:val="24"/>
              <w:lang w:eastAsia="en-AU"/>
              <w14:ligatures w14:val="standardContextual"/>
            </w:rPr>
          </w:pPr>
          <w:hyperlink w:anchor="_Toc213403413" w:history="1">
            <w:r w:rsidRPr="0012243E">
              <w:rPr>
                <w:rStyle w:val="Hyperlink"/>
                <w:noProof/>
              </w:rPr>
              <w:t>Have your say on engagement</w:t>
            </w:r>
            <w:r>
              <w:rPr>
                <w:noProof/>
                <w:webHidden/>
              </w:rPr>
              <w:tab/>
            </w:r>
            <w:r>
              <w:rPr>
                <w:noProof/>
                <w:webHidden/>
              </w:rPr>
              <w:fldChar w:fldCharType="begin"/>
            </w:r>
            <w:r>
              <w:rPr>
                <w:noProof/>
                <w:webHidden/>
              </w:rPr>
              <w:instrText xml:space="preserve"> PAGEREF _Toc213403413 \h </w:instrText>
            </w:r>
            <w:r>
              <w:rPr>
                <w:noProof/>
                <w:webHidden/>
              </w:rPr>
            </w:r>
            <w:r>
              <w:rPr>
                <w:noProof/>
                <w:webHidden/>
              </w:rPr>
              <w:fldChar w:fldCharType="separate"/>
            </w:r>
            <w:r>
              <w:rPr>
                <w:noProof/>
                <w:webHidden/>
              </w:rPr>
              <w:t>5</w:t>
            </w:r>
            <w:r>
              <w:rPr>
                <w:noProof/>
                <w:webHidden/>
              </w:rPr>
              <w:fldChar w:fldCharType="end"/>
            </w:r>
          </w:hyperlink>
        </w:p>
        <w:p w14:paraId="04817265" w14:textId="57D4EDD9" w:rsidR="001E29AE" w:rsidRDefault="001E29AE">
          <w:pPr>
            <w:pStyle w:val="TOC2"/>
            <w:rPr>
              <w:rFonts w:eastAsiaTheme="minorEastAsia"/>
              <w:noProof/>
              <w:color w:val="auto"/>
              <w:kern w:val="2"/>
              <w:sz w:val="24"/>
              <w:szCs w:val="24"/>
              <w:lang w:eastAsia="en-AU"/>
              <w14:ligatures w14:val="standardContextual"/>
            </w:rPr>
          </w:pPr>
          <w:hyperlink w:anchor="_Toc213403414" w:history="1">
            <w:r w:rsidRPr="0012243E">
              <w:rPr>
                <w:rStyle w:val="Hyperlink"/>
                <w:noProof/>
              </w:rPr>
              <w:t>How we will use your feedback</w:t>
            </w:r>
            <w:r>
              <w:rPr>
                <w:noProof/>
                <w:webHidden/>
              </w:rPr>
              <w:tab/>
            </w:r>
            <w:r>
              <w:rPr>
                <w:noProof/>
                <w:webHidden/>
              </w:rPr>
              <w:fldChar w:fldCharType="begin"/>
            </w:r>
            <w:r>
              <w:rPr>
                <w:noProof/>
                <w:webHidden/>
              </w:rPr>
              <w:instrText xml:space="preserve"> PAGEREF _Toc213403414 \h </w:instrText>
            </w:r>
            <w:r>
              <w:rPr>
                <w:noProof/>
                <w:webHidden/>
              </w:rPr>
            </w:r>
            <w:r>
              <w:rPr>
                <w:noProof/>
                <w:webHidden/>
              </w:rPr>
              <w:fldChar w:fldCharType="separate"/>
            </w:r>
            <w:r>
              <w:rPr>
                <w:noProof/>
                <w:webHidden/>
              </w:rPr>
              <w:t>5</w:t>
            </w:r>
            <w:r>
              <w:rPr>
                <w:noProof/>
                <w:webHidden/>
              </w:rPr>
              <w:fldChar w:fldCharType="end"/>
            </w:r>
          </w:hyperlink>
        </w:p>
        <w:p w14:paraId="750E47BB" w14:textId="328BF55B" w:rsidR="001E29AE" w:rsidRDefault="001E29AE">
          <w:pPr>
            <w:pStyle w:val="TOC2"/>
            <w:rPr>
              <w:rFonts w:eastAsiaTheme="minorEastAsia"/>
              <w:noProof/>
              <w:color w:val="auto"/>
              <w:kern w:val="2"/>
              <w:sz w:val="24"/>
              <w:szCs w:val="24"/>
              <w:lang w:eastAsia="en-AU"/>
              <w14:ligatures w14:val="standardContextual"/>
            </w:rPr>
          </w:pPr>
          <w:hyperlink w:anchor="_Toc213403415" w:history="1">
            <w:r w:rsidRPr="0012243E">
              <w:rPr>
                <w:rStyle w:val="Hyperlink"/>
                <w:noProof/>
              </w:rPr>
              <w:t>Engage with us</w:t>
            </w:r>
            <w:r>
              <w:rPr>
                <w:noProof/>
                <w:webHidden/>
              </w:rPr>
              <w:tab/>
            </w:r>
            <w:r>
              <w:rPr>
                <w:noProof/>
                <w:webHidden/>
              </w:rPr>
              <w:fldChar w:fldCharType="begin"/>
            </w:r>
            <w:r>
              <w:rPr>
                <w:noProof/>
                <w:webHidden/>
              </w:rPr>
              <w:instrText xml:space="preserve"> PAGEREF _Toc213403415 \h </w:instrText>
            </w:r>
            <w:r>
              <w:rPr>
                <w:noProof/>
                <w:webHidden/>
              </w:rPr>
            </w:r>
            <w:r>
              <w:rPr>
                <w:noProof/>
                <w:webHidden/>
              </w:rPr>
              <w:fldChar w:fldCharType="separate"/>
            </w:r>
            <w:r>
              <w:rPr>
                <w:noProof/>
                <w:webHidden/>
              </w:rPr>
              <w:t>5</w:t>
            </w:r>
            <w:r>
              <w:rPr>
                <w:noProof/>
                <w:webHidden/>
              </w:rPr>
              <w:fldChar w:fldCharType="end"/>
            </w:r>
          </w:hyperlink>
        </w:p>
        <w:p w14:paraId="3FE2D63B" w14:textId="2FE99E84" w:rsidR="001E29AE" w:rsidRDefault="001E29AE">
          <w:pPr>
            <w:pStyle w:val="TOC2"/>
            <w:rPr>
              <w:rFonts w:eastAsiaTheme="minorEastAsia"/>
              <w:noProof/>
              <w:color w:val="auto"/>
              <w:kern w:val="2"/>
              <w:sz w:val="24"/>
              <w:szCs w:val="24"/>
              <w:lang w:eastAsia="en-AU"/>
              <w14:ligatures w14:val="standardContextual"/>
            </w:rPr>
          </w:pPr>
          <w:hyperlink w:anchor="_Toc213403416" w:history="1">
            <w:r w:rsidRPr="0012243E">
              <w:rPr>
                <w:rStyle w:val="Hyperlink"/>
                <w:noProof/>
              </w:rPr>
              <w:t>Learn more</w:t>
            </w:r>
            <w:r>
              <w:rPr>
                <w:noProof/>
                <w:webHidden/>
              </w:rPr>
              <w:tab/>
            </w:r>
            <w:r>
              <w:rPr>
                <w:noProof/>
                <w:webHidden/>
              </w:rPr>
              <w:fldChar w:fldCharType="begin"/>
            </w:r>
            <w:r>
              <w:rPr>
                <w:noProof/>
                <w:webHidden/>
              </w:rPr>
              <w:instrText xml:space="preserve"> PAGEREF _Toc213403416 \h </w:instrText>
            </w:r>
            <w:r>
              <w:rPr>
                <w:noProof/>
                <w:webHidden/>
              </w:rPr>
            </w:r>
            <w:r>
              <w:rPr>
                <w:noProof/>
                <w:webHidden/>
              </w:rPr>
              <w:fldChar w:fldCharType="separate"/>
            </w:r>
            <w:r>
              <w:rPr>
                <w:noProof/>
                <w:webHidden/>
              </w:rPr>
              <w:t>6</w:t>
            </w:r>
            <w:r>
              <w:rPr>
                <w:noProof/>
                <w:webHidden/>
              </w:rPr>
              <w:fldChar w:fldCharType="end"/>
            </w:r>
          </w:hyperlink>
        </w:p>
        <w:p w14:paraId="7C4174AA" w14:textId="435B9DD4" w:rsidR="001E29AE" w:rsidRDefault="001E29AE">
          <w:pPr>
            <w:pStyle w:val="TOC2"/>
            <w:rPr>
              <w:rFonts w:eastAsiaTheme="minorEastAsia"/>
              <w:noProof/>
              <w:color w:val="auto"/>
              <w:kern w:val="2"/>
              <w:sz w:val="24"/>
              <w:szCs w:val="24"/>
              <w:lang w:eastAsia="en-AU"/>
              <w14:ligatures w14:val="standardContextual"/>
            </w:rPr>
          </w:pPr>
          <w:hyperlink w:anchor="_Toc213403417" w:history="1">
            <w:r w:rsidRPr="0012243E">
              <w:rPr>
                <w:rStyle w:val="Hyperlink"/>
                <w:noProof/>
              </w:rPr>
              <w:t>Get in touch</w:t>
            </w:r>
            <w:r>
              <w:rPr>
                <w:noProof/>
                <w:webHidden/>
              </w:rPr>
              <w:tab/>
            </w:r>
            <w:r>
              <w:rPr>
                <w:noProof/>
                <w:webHidden/>
              </w:rPr>
              <w:fldChar w:fldCharType="begin"/>
            </w:r>
            <w:r>
              <w:rPr>
                <w:noProof/>
                <w:webHidden/>
              </w:rPr>
              <w:instrText xml:space="preserve"> PAGEREF _Toc213403417 \h </w:instrText>
            </w:r>
            <w:r>
              <w:rPr>
                <w:noProof/>
                <w:webHidden/>
              </w:rPr>
            </w:r>
            <w:r>
              <w:rPr>
                <w:noProof/>
                <w:webHidden/>
              </w:rPr>
              <w:fldChar w:fldCharType="separate"/>
            </w:r>
            <w:r>
              <w:rPr>
                <w:noProof/>
                <w:webHidden/>
              </w:rPr>
              <w:t>6</w:t>
            </w:r>
            <w:r>
              <w:rPr>
                <w:noProof/>
                <w:webHidden/>
              </w:rPr>
              <w:fldChar w:fldCharType="end"/>
            </w:r>
          </w:hyperlink>
        </w:p>
        <w:p w14:paraId="1DE7DFEC" w14:textId="762598C9" w:rsidR="006D3730" w:rsidRPr="001E29AE" w:rsidRDefault="00C679EF">
          <w:r w:rsidRPr="001E29AE">
            <w:fldChar w:fldCharType="end"/>
          </w:r>
        </w:p>
      </w:sdtContent>
    </w:sdt>
    <w:p w14:paraId="579EC8B5" w14:textId="4D0F381A" w:rsidR="00A04A08" w:rsidRPr="001E29AE" w:rsidRDefault="00A04A08">
      <w:r w:rsidRPr="001E29AE">
        <w:br w:type="page"/>
      </w:r>
    </w:p>
    <w:p w14:paraId="346864B4" w14:textId="77777777" w:rsidR="00B64339" w:rsidRPr="001E29AE" w:rsidRDefault="00B64339" w:rsidP="00B64339">
      <w:pPr>
        <w:pStyle w:val="Heading2Shaded"/>
      </w:pPr>
      <w:bookmarkStart w:id="0" w:name="_Toc213403407"/>
      <w:r w:rsidRPr="001E29AE">
        <w:lastRenderedPageBreak/>
        <w:t>Community consultation undertaken to date</w:t>
      </w:r>
      <w:bookmarkEnd w:id="0"/>
      <w:r w:rsidRPr="001E29AE">
        <w:t xml:space="preserve"> </w:t>
      </w:r>
    </w:p>
    <w:p w14:paraId="23EC0E48" w14:textId="77777777" w:rsidR="00B64339" w:rsidRPr="001E29AE" w:rsidRDefault="00B64339" w:rsidP="00B64339">
      <w:pPr>
        <w:pStyle w:val="NormalShadedLightGreen"/>
      </w:pPr>
      <w:r w:rsidRPr="001E29AE">
        <w:t>We are progressing development of a pumped hydro energy storage project on land and waterways we own near Lithgow.</w:t>
      </w:r>
    </w:p>
    <w:p w14:paraId="31EC9F2C" w14:textId="77777777" w:rsidR="00B64339" w:rsidRPr="001E29AE" w:rsidRDefault="00B64339" w:rsidP="00B64339">
      <w:pPr>
        <w:pStyle w:val="Heading2"/>
      </w:pPr>
      <w:bookmarkStart w:id="1" w:name="_Toc213403408"/>
      <w:r w:rsidRPr="001E29AE">
        <w:t>Identified impacts and proposed mitigations</w:t>
      </w:r>
      <w:bookmarkEnd w:id="1"/>
      <w:r w:rsidRPr="001E29AE">
        <w:t xml:space="preserve"> </w:t>
      </w:r>
    </w:p>
    <w:p w14:paraId="5DA32B9B" w14:textId="77777777" w:rsidR="00B64339" w:rsidRPr="001E29AE" w:rsidRDefault="00B64339" w:rsidP="00B64339">
      <w:r w:rsidRPr="001E29AE">
        <w:t>As part of our ongoing consultation with the community and stakeholders, we are sharing information on the potential impacts and proposed mitigations identified so far. Your feedback is important in shaping how these are assessed and addressed in the Environmental Impact Statement.</w:t>
      </w:r>
    </w:p>
    <w:p w14:paraId="57CCC43B" w14:textId="77777777" w:rsidR="00B64339" w:rsidRPr="001E29AE" w:rsidRDefault="00B64339" w:rsidP="00B64339">
      <w:r w:rsidRPr="001E29AE">
        <w:t xml:space="preserve">This summary outlines how — when presented with impacts, potential impacts and proposed mitigations — community involvement and input </w:t>
      </w:r>
      <w:proofErr w:type="gramStart"/>
      <w:r w:rsidRPr="001E29AE">
        <w:t>has</w:t>
      </w:r>
      <w:proofErr w:type="gramEnd"/>
      <w:r w:rsidRPr="001E29AE">
        <w:t xml:space="preserve"> influenced the project to date.</w:t>
      </w:r>
    </w:p>
    <w:p w14:paraId="6590ECFD" w14:textId="77777777" w:rsidR="00B64339" w:rsidRPr="001E29AE" w:rsidRDefault="00B64339" w:rsidP="001E29AE">
      <w:pPr>
        <w:spacing w:before="240"/>
      </w:pPr>
      <w:r w:rsidRPr="001E29AE">
        <w:rPr>
          <w:noProof/>
        </w:rPr>
        <w:drawing>
          <wp:inline distT="0" distB="0" distL="0" distR="0" wp14:anchorId="18C9E9D1" wp14:editId="2CBB4DBD">
            <wp:extent cx="6621872" cy="3331028"/>
            <wp:effectExtent l="0" t="0" r="7620" b="3175"/>
            <wp:docPr id="1" name="Picture 2" descr="Community Engagement at Iron Fest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ommunity Engagement at Iron Fest in 2024."/>
                    <pic:cNvPicPr>
                      <a:picLocks noChangeAspect="1" noChangeArrowheads="1"/>
                    </pic:cNvPicPr>
                  </pic:nvPicPr>
                  <pic:blipFill rotWithShape="1">
                    <a:blip r:embed="rId10">
                      <a:extLst>
                        <a:ext uri="{28A0092B-C50C-407E-A947-70E740481C1C}">
                          <a14:useLocalDpi xmlns:a14="http://schemas.microsoft.com/office/drawing/2010/main" val="0"/>
                        </a:ext>
                      </a:extLst>
                    </a:blip>
                    <a:srcRect t="20236" b="12733"/>
                    <a:stretch>
                      <a:fillRect/>
                    </a:stretch>
                  </pic:blipFill>
                  <pic:spPr bwMode="auto">
                    <a:xfrm>
                      <a:off x="0" y="0"/>
                      <a:ext cx="6624000" cy="3332099"/>
                    </a:xfrm>
                    <a:prstGeom prst="rect">
                      <a:avLst/>
                    </a:prstGeom>
                    <a:noFill/>
                    <a:ln>
                      <a:noFill/>
                    </a:ln>
                    <a:extLst>
                      <a:ext uri="{53640926-AAD7-44D8-BBD7-CCE9431645EC}">
                        <a14:shadowObscured xmlns:a14="http://schemas.microsoft.com/office/drawing/2010/main"/>
                      </a:ext>
                    </a:extLst>
                  </pic:spPr>
                </pic:pic>
              </a:graphicData>
            </a:graphic>
          </wp:inline>
        </w:drawing>
      </w:r>
    </w:p>
    <w:p w14:paraId="03E092C9" w14:textId="77777777" w:rsidR="00B64339" w:rsidRPr="001E29AE" w:rsidRDefault="00B64339" w:rsidP="00B64339">
      <w:pPr>
        <w:pStyle w:val="ImageCaption"/>
      </w:pPr>
      <w:r w:rsidRPr="001E29AE">
        <w:t>Community Engagement at Iron Fest in 2024.</w:t>
      </w:r>
    </w:p>
    <w:p w14:paraId="596BD992" w14:textId="77777777" w:rsidR="00B64339" w:rsidRPr="001E29AE" w:rsidRDefault="00B64339" w:rsidP="00B64339">
      <w:pPr>
        <w:pStyle w:val="Heading2"/>
      </w:pPr>
      <w:bookmarkStart w:id="2" w:name="_Toc213403409"/>
      <w:r w:rsidRPr="001E29AE">
        <w:t>What is a consultation report?</w:t>
      </w:r>
      <w:bookmarkEnd w:id="2"/>
    </w:p>
    <w:p w14:paraId="1986AADB" w14:textId="77777777" w:rsidR="00B64339" w:rsidRPr="001E29AE" w:rsidRDefault="00B64339" w:rsidP="00B64339">
      <w:r w:rsidRPr="001E29AE">
        <w:t xml:space="preserve">A </w:t>
      </w:r>
      <w:r w:rsidRPr="001E29AE">
        <w:rPr>
          <w:rStyle w:val="Strong"/>
        </w:rPr>
        <w:t>Consultation Report</w:t>
      </w:r>
      <w:r w:rsidRPr="001E29AE">
        <w:t xml:space="preserve"> is a formal document that outlines how community and stakeholder engagement was conducted during the preparation of an Environmental Impact Statement (EIS). It includes:</w:t>
      </w:r>
    </w:p>
    <w:p w14:paraId="5E554DDA" w14:textId="77777777" w:rsidR="00B64339" w:rsidRPr="001E29AE" w:rsidRDefault="00B64339" w:rsidP="00B64339">
      <w:pPr>
        <w:pStyle w:val="ListParagraph"/>
        <w:numPr>
          <w:ilvl w:val="0"/>
          <w:numId w:val="14"/>
        </w:numPr>
        <w:spacing w:before="0" w:after="160" w:line="278" w:lineRule="auto"/>
      </w:pPr>
      <w:r w:rsidRPr="001E29AE">
        <w:t>who was consulted</w:t>
      </w:r>
    </w:p>
    <w:p w14:paraId="09988A2D" w14:textId="77777777" w:rsidR="00B64339" w:rsidRPr="001E29AE" w:rsidRDefault="00B64339" w:rsidP="00B64339">
      <w:pPr>
        <w:pStyle w:val="ListParagraph"/>
        <w:numPr>
          <w:ilvl w:val="0"/>
          <w:numId w:val="14"/>
        </w:numPr>
        <w:spacing w:before="0" w:after="160" w:line="278" w:lineRule="auto"/>
      </w:pPr>
      <w:r w:rsidRPr="001E29AE">
        <w:t>when and how engagement took place</w:t>
      </w:r>
    </w:p>
    <w:p w14:paraId="3BF99BFE" w14:textId="77777777" w:rsidR="00B64339" w:rsidRPr="001E29AE" w:rsidRDefault="00B64339" w:rsidP="00B64339">
      <w:pPr>
        <w:pStyle w:val="ListParagraph"/>
        <w:numPr>
          <w:ilvl w:val="0"/>
          <w:numId w:val="14"/>
        </w:numPr>
        <w:spacing w:before="0" w:after="160" w:line="278" w:lineRule="auto"/>
      </w:pPr>
      <w:r w:rsidRPr="001E29AE">
        <w:t>what feedback was received</w:t>
      </w:r>
    </w:p>
    <w:p w14:paraId="71E2293A" w14:textId="77777777" w:rsidR="00B64339" w:rsidRPr="001E29AE" w:rsidRDefault="00B64339" w:rsidP="00B64339">
      <w:pPr>
        <w:pStyle w:val="ListParagraph"/>
        <w:numPr>
          <w:ilvl w:val="0"/>
          <w:numId w:val="14"/>
        </w:numPr>
        <w:spacing w:before="0" w:after="160" w:line="278" w:lineRule="auto"/>
      </w:pPr>
      <w:r w:rsidRPr="001E29AE">
        <w:t>how that feedback influenced the project or EIS studies</w:t>
      </w:r>
    </w:p>
    <w:p w14:paraId="0C547AA1" w14:textId="77777777" w:rsidR="00B64339" w:rsidRPr="001E29AE" w:rsidRDefault="00B64339" w:rsidP="00B64339">
      <w:r w:rsidRPr="001E29AE">
        <w:t>The report demonstrates transparency, shows how community input was considered, and helps decision</w:t>
      </w:r>
      <w:r w:rsidRPr="001E29AE">
        <w:rPr>
          <w:rFonts w:ascii="Cambria Math" w:hAnsi="Cambria Math" w:cs="Cambria Math"/>
        </w:rPr>
        <w:t>‑</w:t>
      </w:r>
      <w:r w:rsidRPr="001E29AE">
        <w:t>makers understand the level and outcomes of consultation.</w:t>
      </w:r>
    </w:p>
    <w:p w14:paraId="3DFB7A0E" w14:textId="738630C4" w:rsidR="00B64339" w:rsidRPr="001E29AE" w:rsidRDefault="00B64339">
      <w:r w:rsidRPr="001E29AE">
        <w:br w:type="page"/>
      </w:r>
    </w:p>
    <w:p w14:paraId="1FF11CFA" w14:textId="77777777" w:rsidR="00B64339" w:rsidRPr="001E29AE" w:rsidRDefault="00B64339" w:rsidP="00B64339">
      <w:pPr>
        <w:pStyle w:val="Heading2"/>
      </w:pPr>
      <w:bookmarkStart w:id="3" w:name="_Toc213403410"/>
      <w:r w:rsidRPr="001E29AE">
        <w:lastRenderedPageBreak/>
        <w:t>How is a consultation report developed?</w:t>
      </w:r>
      <w:bookmarkEnd w:id="3"/>
    </w:p>
    <w:p w14:paraId="7FF155EB" w14:textId="77777777" w:rsidR="00B64339" w:rsidRPr="001E29AE" w:rsidRDefault="00B64339" w:rsidP="00B64339">
      <w:r w:rsidRPr="001E29AE">
        <w:t>The Consultation Report is developed over the life of the project and documents how community and stakeholder engagement has informed the project design and development as well as all aspects of the Environmental Impact Statement. It involves:</w:t>
      </w:r>
    </w:p>
    <w:p w14:paraId="687A13ED" w14:textId="77777777" w:rsidR="00B64339" w:rsidRPr="001E29AE" w:rsidRDefault="00B64339" w:rsidP="00B64339">
      <w:pPr>
        <w:pStyle w:val="ListParagraph"/>
        <w:numPr>
          <w:ilvl w:val="0"/>
          <w:numId w:val="15"/>
        </w:numPr>
        <w:spacing w:before="0" w:after="160" w:line="278" w:lineRule="auto"/>
      </w:pPr>
      <w:r w:rsidRPr="001E29AE">
        <w:rPr>
          <w:rStyle w:val="Strong"/>
        </w:rPr>
        <w:t>engagement planning</w:t>
      </w:r>
      <w:r w:rsidRPr="001E29AE">
        <w:t xml:space="preserve"> by developing a Community and Stakeholder Engagement Plan early, outlining who to engage, when, how, and why</w:t>
      </w:r>
    </w:p>
    <w:p w14:paraId="2E5B592B" w14:textId="77777777" w:rsidR="00B64339" w:rsidRPr="001E29AE" w:rsidRDefault="00B64339" w:rsidP="00B64339">
      <w:pPr>
        <w:pStyle w:val="ListParagraph"/>
        <w:numPr>
          <w:ilvl w:val="0"/>
          <w:numId w:val="15"/>
        </w:numPr>
        <w:spacing w:before="0" w:after="160" w:line="278" w:lineRule="auto"/>
      </w:pPr>
      <w:r w:rsidRPr="001E29AE">
        <w:rPr>
          <w:rStyle w:val="Strong"/>
        </w:rPr>
        <w:t>program delivery</w:t>
      </w:r>
      <w:r w:rsidRPr="001E29AE">
        <w:t xml:space="preserve"> where engagement activities are implemented across project phases to inform, consult, and involve stakeholders at key decision points</w:t>
      </w:r>
    </w:p>
    <w:p w14:paraId="017899F2" w14:textId="77777777" w:rsidR="00B64339" w:rsidRPr="001E29AE" w:rsidRDefault="00B64339" w:rsidP="00B64339">
      <w:pPr>
        <w:pStyle w:val="ListParagraph"/>
        <w:numPr>
          <w:ilvl w:val="0"/>
          <w:numId w:val="15"/>
        </w:numPr>
        <w:spacing w:before="0" w:after="160" w:line="278" w:lineRule="auto"/>
      </w:pPr>
      <w:r w:rsidRPr="001E29AE">
        <w:rPr>
          <w:rStyle w:val="Strong"/>
        </w:rPr>
        <w:t>record keeping</w:t>
      </w:r>
      <w:r w:rsidRPr="001E29AE">
        <w:t xml:space="preserve"> where all engagement activities, feedback, and correspondence are documented systematically, ensuring transparency and traceability</w:t>
      </w:r>
    </w:p>
    <w:p w14:paraId="0AB68BCB" w14:textId="77777777" w:rsidR="00B64339" w:rsidRPr="001E29AE" w:rsidRDefault="00B64339" w:rsidP="00B64339">
      <w:pPr>
        <w:pStyle w:val="ListParagraph"/>
        <w:numPr>
          <w:ilvl w:val="0"/>
          <w:numId w:val="15"/>
        </w:numPr>
        <w:spacing w:before="0" w:after="160" w:line="278" w:lineRule="auto"/>
      </w:pPr>
      <w:r w:rsidRPr="001E29AE">
        <w:rPr>
          <w:rStyle w:val="Strong"/>
        </w:rPr>
        <w:t>feedback integration</w:t>
      </w:r>
      <w:r w:rsidRPr="001E29AE">
        <w:t xml:space="preserve"> where community input is analysed and used to help inform project design, impact assessments, mitigations, and communication strategies</w:t>
      </w:r>
    </w:p>
    <w:p w14:paraId="181DAB0A" w14:textId="77777777" w:rsidR="00B64339" w:rsidRPr="001E29AE" w:rsidRDefault="00B64339" w:rsidP="00B64339">
      <w:pPr>
        <w:pStyle w:val="ListParagraph"/>
        <w:numPr>
          <w:ilvl w:val="0"/>
          <w:numId w:val="15"/>
        </w:numPr>
        <w:spacing w:before="0" w:after="160" w:line="278" w:lineRule="auto"/>
      </w:pPr>
      <w:r w:rsidRPr="001E29AE">
        <w:rPr>
          <w:rStyle w:val="Strong"/>
        </w:rPr>
        <w:t>reporting</w:t>
      </w:r>
      <w:r w:rsidRPr="001E29AE">
        <w:t xml:space="preserve"> when we provide a detailed summary of engagement activities, key issues raised, and how feedback help influence the project is compiled into the EIS Consultation Report</w:t>
      </w:r>
    </w:p>
    <w:p w14:paraId="453757C4" w14:textId="77777777" w:rsidR="00B64339" w:rsidRPr="001E29AE" w:rsidRDefault="00B64339" w:rsidP="00B64339">
      <w:pPr>
        <w:pStyle w:val="ListParagraph"/>
        <w:numPr>
          <w:ilvl w:val="0"/>
          <w:numId w:val="15"/>
        </w:numPr>
        <w:spacing w:before="0" w:after="160" w:line="278" w:lineRule="auto"/>
      </w:pPr>
      <w:r w:rsidRPr="001E29AE">
        <w:rPr>
          <w:rStyle w:val="Strong"/>
        </w:rPr>
        <w:t xml:space="preserve">submission </w:t>
      </w:r>
      <w:r w:rsidRPr="001E29AE">
        <w:t>— The Report is submitted with the EIS to evidence engagement and responsiveness to community concerns</w:t>
      </w:r>
    </w:p>
    <w:p w14:paraId="772ED414" w14:textId="77777777" w:rsidR="00B64339" w:rsidRPr="001E29AE" w:rsidRDefault="00B64339" w:rsidP="00B64339">
      <w:pPr>
        <w:pStyle w:val="Heading2"/>
      </w:pPr>
      <w:bookmarkStart w:id="4" w:name="_Toc213403411"/>
      <w:r w:rsidRPr="001E29AE">
        <w:t>Who has been engaged and consulted?</w:t>
      </w:r>
      <w:bookmarkEnd w:id="4"/>
    </w:p>
    <w:p w14:paraId="5A8AEB91" w14:textId="77777777" w:rsidR="00B64339" w:rsidRPr="001E29AE" w:rsidRDefault="00B64339" w:rsidP="00B64339">
      <w:pPr>
        <w:pStyle w:val="ListParagraph"/>
        <w:numPr>
          <w:ilvl w:val="0"/>
          <w:numId w:val="16"/>
        </w:numPr>
        <w:spacing w:before="0" w:after="160" w:line="278" w:lineRule="auto"/>
      </w:pPr>
      <w:r w:rsidRPr="001E29AE">
        <w:rPr>
          <w:rStyle w:val="Strong"/>
        </w:rPr>
        <w:t>Traditional Owners</w:t>
      </w:r>
      <w:r w:rsidRPr="001E29AE">
        <w:t xml:space="preserve"> — engaged for cultural knowledge, heritage assessments, and ongoing oversight</w:t>
      </w:r>
    </w:p>
    <w:p w14:paraId="1E7BED86" w14:textId="77777777" w:rsidR="00B64339" w:rsidRPr="001E29AE" w:rsidRDefault="00B64339" w:rsidP="00B64339">
      <w:pPr>
        <w:pStyle w:val="ListParagraph"/>
        <w:numPr>
          <w:ilvl w:val="0"/>
          <w:numId w:val="16"/>
        </w:numPr>
        <w:spacing w:before="0" w:after="160" w:line="278" w:lineRule="auto"/>
      </w:pPr>
      <w:r w:rsidRPr="001E29AE">
        <w:rPr>
          <w:rStyle w:val="Strong"/>
        </w:rPr>
        <w:t>local council</w:t>
      </w:r>
      <w:r w:rsidRPr="001E29AE">
        <w:t xml:space="preserve"> — Lithgow City Council involved in planning, design feedback, and regulatory matters</w:t>
      </w:r>
    </w:p>
    <w:p w14:paraId="1353EAF9" w14:textId="77777777" w:rsidR="00B64339" w:rsidRPr="001E29AE" w:rsidRDefault="00B64339" w:rsidP="00B64339">
      <w:pPr>
        <w:pStyle w:val="ListParagraph"/>
        <w:numPr>
          <w:ilvl w:val="0"/>
          <w:numId w:val="16"/>
        </w:numPr>
        <w:spacing w:before="0" w:after="160" w:line="278" w:lineRule="auto"/>
      </w:pPr>
      <w:r w:rsidRPr="001E29AE">
        <w:rPr>
          <w:rStyle w:val="Strong"/>
        </w:rPr>
        <w:t>government departments and regulators</w:t>
      </w:r>
      <w:r w:rsidRPr="001E29AE">
        <w:t> — relevant state and federal agencies consulted for environmental, planning, and compliance requirements</w:t>
      </w:r>
    </w:p>
    <w:p w14:paraId="156A1C44" w14:textId="77777777" w:rsidR="00B64339" w:rsidRPr="001E29AE" w:rsidRDefault="00B64339" w:rsidP="00B64339">
      <w:pPr>
        <w:pStyle w:val="ListParagraph"/>
        <w:numPr>
          <w:ilvl w:val="0"/>
          <w:numId w:val="16"/>
        </w:numPr>
        <w:spacing w:before="0" w:after="160" w:line="278" w:lineRule="auto"/>
      </w:pPr>
      <w:r w:rsidRPr="001E29AE">
        <w:rPr>
          <w:rStyle w:val="Strong"/>
        </w:rPr>
        <w:t>community groups</w:t>
      </w:r>
      <w:r w:rsidRPr="001E29AE">
        <w:t xml:space="preserve"> — various local and regional groups engaged to understand broader community perspectives</w:t>
      </w:r>
    </w:p>
    <w:p w14:paraId="22CB0CF6" w14:textId="77777777" w:rsidR="00B64339" w:rsidRPr="001E29AE" w:rsidRDefault="00B64339" w:rsidP="00B64339">
      <w:pPr>
        <w:pStyle w:val="ListParagraph"/>
        <w:numPr>
          <w:ilvl w:val="0"/>
          <w:numId w:val="16"/>
        </w:numPr>
        <w:spacing w:before="0" w:after="160" w:line="278" w:lineRule="auto"/>
      </w:pPr>
      <w:r w:rsidRPr="001E29AE">
        <w:rPr>
          <w:rStyle w:val="Strong"/>
        </w:rPr>
        <w:t>residents of Lithgow and the region</w:t>
      </w:r>
      <w:r w:rsidRPr="001E29AE">
        <w:t xml:space="preserve"> — general community input gathered through multiple engagement activities</w:t>
      </w:r>
    </w:p>
    <w:p w14:paraId="62BCEBF1" w14:textId="77777777" w:rsidR="00B64339" w:rsidRPr="001E29AE" w:rsidRDefault="00B64339" w:rsidP="00B64339">
      <w:pPr>
        <w:pStyle w:val="ListParagraph"/>
        <w:numPr>
          <w:ilvl w:val="0"/>
          <w:numId w:val="16"/>
        </w:numPr>
        <w:spacing w:before="0" w:after="160" w:line="278" w:lineRule="auto"/>
      </w:pPr>
      <w:r w:rsidRPr="001E29AE">
        <w:rPr>
          <w:rStyle w:val="Strong"/>
        </w:rPr>
        <w:t>Community Consultative Committee (CCC)</w:t>
      </w:r>
      <w:r w:rsidRPr="001E29AE">
        <w:t xml:space="preserve"> — a formal group representing diverse stakeholder interests providing regular feedback</w:t>
      </w:r>
    </w:p>
    <w:p w14:paraId="04B46DB2" w14:textId="77777777" w:rsidR="00B64339" w:rsidRPr="001E29AE" w:rsidRDefault="00B64339" w:rsidP="00B64339">
      <w:pPr>
        <w:pStyle w:val="ListParagraph"/>
        <w:numPr>
          <w:ilvl w:val="0"/>
          <w:numId w:val="16"/>
        </w:numPr>
        <w:spacing w:before="0" w:after="160" w:line="278" w:lineRule="auto"/>
      </w:pPr>
      <w:r w:rsidRPr="001E29AE">
        <w:rPr>
          <w:rStyle w:val="Strong"/>
        </w:rPr>
        <w:t>neighbours who are most impacted</w:t>
      </w:r>
      <w:r w:rsidRPr="001E29AE">
        <w:t xml:space="preserve"> — property owners living near or likely to experience direct impacts, engaged individually to address specific concerns and mitigation</w:t>
      </w:r>
    </w:p>
    <w:p w14:paraId="18E103C8" w14:textId="77777777" w:rsidR="00B64339" w:rsidRPr="001E29AE" w:rsidRDefault="00B64339" w:rsidP="00B64339">
      <w:pPr>
        <w:pStyle w:val="Heading2"/>
      </w:pPr>
      <w:bookmarkStart w:id="5" w:name="_Toc213403412"/>
      <w:r w:rsidRPr="001E29AE">
        <w:t>What have been the activities and the involvement and influence?</w:t>
      </w:r>
      <w:bookmarkEnd w:id="5"/>
    </w:p>
    <w:p w14:paraId="0B5AD964" w14:textId="77777777" w:rsidR="00B64339" w:rsidRPr="001E29AE" w:rsidRDefault="00B64339" w:rsidP="00B64339">
      <w:r w:rsidRPr="001E29AE">
        <w:t>The engagement is consistent with the NSW Undertaking Engagement Guide: Guidance for State Significant Projects (DPHI, 2024), characterised by:</w:t>
      </w:r>
    </w:p>
    <w:p w14:paraId="37527A9D" w14:textId="77777777" w:rsidR="00B64339" w:rsidRPr="001E29AE" w:rsidRDefault="00B64339" w:rsidP="00B64339">
      <w:pPr>
        <w:pStyle w:val="ListParagraph"/>
        <w:numPr>
          <w:ilvl w:val="0"/>
          <w:numId w:val="17"/>
        </w:numPr>
        <w:spacing w:before="0" w:after="160" w:line="278" w:lineRule="auto"/>
      </w:pPr>
      <w:r w:rsidRPr="001E29AE">
        <w:t>early, inclusive planning</w:t>
      </w:r>
    </w:p>
    <w:p w14:paraId="7236B618" w14:textId="77777777" w:rsidR="00B64339" w:rsidRPr="001E29AE" w:rsidRDefault="00B64339" w:rsidP="00B64339">
      <w:pPr>
        <w:pStyle w:val="ListParagraph"/>
        <w:numPr>
          <w:ilvl w:val="0"/>
          <w:numId w:val="17"/>
        </w:numPr>
        <w:spacing w:before="0" w:after="160" w:line="278" w:lineRule="auto"/>
      </w:pPr>
      <w:r w:rsidRPr="001E29AE">
        <w:t>tailored, transparent communications</w:t>
      </w:r>
    </w:p>
    <w:p w14:paraId="37F4A77D" w14:textId="77777777" w:rsidR="00B64339" w:rsidRPr="001E29AE" w:rsidRDefault="00B64339" w:rsidP="00B64339">
      <w:pPr>
        <w:pStyle w:val="ListParagraph"/>
        <w:numPr>
          <w:ilvl w:val="0"/>
          <w:numId w:val="17"/>
        </w:numPr>
        <w:spacing w:before="0" w:after="160" w:line="278" w:lineRule="auto"/>
      </w:pPr>
      <w:r w:rsidRPr="001E29AE">
        <w:t>responsive to community feedback</w:t>
      </w:r>
    </w:p>
    <w:p w14:paraId="3FCA281F" w14:textId="77777777" w:rsidR="00B64339" w:rsidRPr="001E29AE" w:rsidRDefault="00B64339" w:rsidP="00B64339">
      <w:pPr>
        <w:pStyle w:val="ListParagraph"/>
        <w:numPr>
          <w:ilvl w:val="0"/>
          <w:numId w:val="17"/>
        </w:numPr>
        <w:spacing w:before="0" w:after="160" w:line="278" w:lineRule="auto"/>
      </w:pPr>
      <w:r w:rsidRPr="001E29AE">
        <w:t>multiple formats</w:t>
      </w:r>
      <w:r w:rsidRPr="001E29AE">
        <w:rPr>
          <w:rStyle w:val="Strong"/>
        </w:rPr>
        <w:t xml:space="preserve"> </w:t>
      </w:r>
      <w:r w:rsidRPr="001E29AE">
        <w:t>— face-to-face, online, print, and video</w:t>
      </w:r>
    </w:p>
    <w:p w14:paraId="49721291" w14:textId="77777777" w:rsidR="00B64339" w:rsidRPr="001E29AE" w:rsidRDefault="00B64339" w:rsidP="00B64339">
      <w:pPr>
        <w:pStyle w:val="ListParagraph"/>
        <w:numPr>
          <w:ilvl w:val="0"/>
          <w:numId w:val="17"/>
        </w:numPr>
        <w:spacing w:before="0" w:after="160" w:line="278" w:lineRule="auto"/>
      </w:pPr>
      <w:r w:rsidRPr="001E29AE">
        <w:t>co-design of benefits and mitigations for those most impacted</w:t>
      </w:r>
    </w:p>
    <w:p w14:paraId="383F0E55" w14:textId="58F95F71" w:rsidR="00B64339" w:rsidRPr="001E29AE" w:rsidRDefault="00B64339">
      <w:r w:rsidRPr="001E29AE">
        <w:br w:type="page"/>
      </w:r>
    </w:p>
    <w:tbl>
      <w:tblPr>
        <w:tblStyle w:val="ListTable3-Accent3"/>
        <w:tblW w:w="10431" w:type="dxa"/>
        <w:tblLayout w:type="fixed"/>
        <w:tblLook w:val="04A0" w:firstRow="1" w:lastRow="0" w:firstColumn="1" w:lastColumn="0" w:noHBand="0" w:noVBand="1"/>
      </w:tblPr>
      <w:tblGrid>
        <w:gridCol w:w="1479"/>
        <w:gridCol w:w="4328"/>
        <w:gridCol w:w="1843"/>
        <w:gridCol w:w="2781"/>
      </w:tblGrid>
      <w:tr w:rsidR="00B64339" w:rsidRPr="001E29AE" w14:paraId="4DA84861" w14:textId="77777777" w:rsidTr="00B64339">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100" w:firstRow="0" w:lastRow="0" w:firstColumn="1" w:lastColumn="0" w:oddVBand="0" w:evenVBand="0" w:oddHBand="0" w:evenHBand="0" w:firstRowFirstColumn="1" w:firstRowLastColumn="0" w:lastRowFirstColumn="0" w:lastRowLastColumn="0"/>
            <w:tcW w:w="5807" w:type="dxa"/>
            <w:gridSpan w:val="2"/>
          </w:tcPr>
          <w:p w14:paraId="66159B8F" w14:textId="478AFDFB" w:rsidR="00B64339" w:rsidRPr="001E29AE" w:rsidRDefault="00B64339" w:rsidP="00B64339">
            <w:pPr>
              <w:spacing w:before="60" w:after="60"/>
            </w:pPr>
            <w:r w:rsidRPr="001E29AE">
              <w:rPr>
                <w:noProof/>
              </w:rPr>
              <w:lastRenderedPageBreak/>
              <w:drawing>
                <wp:inline distT="0" distB="0" distL="0" distR="0" wp14:anchorId="3A3E5396" wp14:editId="337CF09F">
                  <wp:extent cx="329040" cy="329040"/>
                  <wp:effectExtent l="0" t="0" r="0" b="0"/>
                  <wp:docPr id="68266335"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6335" name="Picture 1" descr="ic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040" cy="329040"/>
                          </a:xfrm>
                          <a:prstGeom prst="rect">
                            <a:avLst/>
                          </a:prstGeom>
                        </pic:spPr>
                      </pic:pic>
                    </a:graphicData>
                  </a:graphic>
                </wp:inline>
              </w:drawing>
            </w:r>
            <w:r w:rsidRPr="001E29AE">
              <w:rPr>
                <w:position w:val="18"/>
              </w:rPr>
              <w:t xml:space="preserve"> Consultation and engagement activities</w:t>
            </w:r>
          </w:p>
        </w:tc>
        <w:tc>
          <w:tcPr>
            <w:tcW w:w="4624" w:type="dxa"/>
            <w:gridSpan w:val="2"/>
          </w:tcPr>
          <w:p w14:paraId="65FD9E21" w14:textId="333EE2B7" w:rsidR="00B64339" w:rsidRPr="001E29AE" w:rsidRDefault="00B64339" w:rsidP="00B64339">
            <w:pPr>
              <w:spacing w:before="60" w:after="60"/>
              <w:cnfStyle w:val="100000000000" w:firstRow="1" w:lastRow="0" w:firstColumn="0" w:lastColumn="0" w:oddVBand="0" w:evenVBand="0" w:oddHBand="0" w:evenHBand="0" w:firstRowFirstColumn="0" w:firstRowLastColumn="0" w:lastRowFirstColumn="0" w:lastRowLastColumn="0"/>
            </w:pPr>
            <w:r w:rsidRPr="001E29AE">
              <w:rPr>
                <w:noProof/>
              </w:rPr>
              <w:drawing>
                <wp:inline distT="0" distB="0" distL="0" distR="0" wp14:anchorId="0E8C65F1" wp14:editId="6757EF1C">
                  <wp:extent cx="329040" cy="329040"/>
                  <wp:effectExtent l="0" t="0" r="0" b="0"/>
                  <wp:docPr id="447470253"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70253" name="Picture 1" descr="ic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040" cy="329040"/>
                          </a:xfrm>
                          <a:prstGeom prst="rect">
                            <a:avLst/>
                          </a:prstGeom>
                        </pic:spPr>
                      </pic:pic>
                    </a:graphicData>
                  </a:graphic>
                </wp:inline>
              </w:drawing>
            </w:r>
            <w:r w:rsidRPr="001E29AE">
              <w:rPr>
                <w:position w:val="18"/>
              </w:rPr>
              <w:t xml:space="preserve"> Community involvement and influences</w:t>
            </w:r>
          </w:p>
        </w:tc>
      </w:tr>
      <w:tr w:rsidR="00B64339" w:rsidRPr="001E29AE" w14:paraId="06C48C0C" w14:textId="77777777" w:rsidTr="00B6433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79" w:type="dxa"/>
            <w:vMerge w:val="restart"/>
            <w:shd w:val="clear" w:color="auto" w:fill="D0E8B5" w:themeFill="accent2" w:themeFillTint="66"/>
          </w:tcPr>
          <w:p w14:paraId="4BED9CC3" w14:textId="77777777" w:rsidR="00B64339" w:rsidRPr="001E29AE" w:rsidRDefault="00B64339" w:rsidP="00B64339">
            <w:pPr>
              <w:spacing w:before="60" w:after="60"/>
              <w:rPr>
                <w:rStyle w:val="Strong"/>
              </w:rPr>
            </w:pPr>
            <w:r w:rsidRPr="001E29AE">
              <w:rPr>
                <w:rStyle w:val="Strong"/>
              </w:rPr>
              <w:t xml:space="preserve">Phase 1: </w:t>
            </w:r>
          </w:p>
          <w:p w14:paraId="75A3B16A" w14:textId="77777777" w:rsidR="00B64339" w:rsidRPr="001E29AE" w:rsidRDefault="00B64339" w:rsidP="00B64339">
            <w:pPr>
              <w:spacing w:before="60" w:after="60"/>
            </w:pPr>
            <w:r w:rsidRPr="001E29AE">
              <w:rPr>
                <w:rStyle w:val="Strong"/>
              </w:rPr>
              <w:t>Preliminary Consultation (2021–2022)</w:t>
            </w:r>
          </w:p>
        </w:tc>
        <w:tc>
          <w:tcPr>
            <w:tcW w:w="4328" w:type="dxa"/>
            <w:vMerge w:val="restart"/>
          </w:tcPr>
          <w:p w14:paraId="23DA21C7" w14:textId="77777777" w:rsidR="00B64339" w:rsidRPr="001E29AE" w:rsidRDefault="00B64339" w:rsidP="00B64339">
            <w:pPr>
              <w:pStyle w:val="ListParagraph"/>
              <w:numPr>
                <w:ilvl w:val="0"/>
                <w:numId w:val="18"/>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Early consultation with the Lithgow community via established forums (CCC, Lithgow City Council briefings)</w:t>
            </w:r>
          </w:p>
          <w:p w14:paraId="024E82EC" w14:textId="77777777" w:rsidR="00B64339" w:rsidRPr="001E29AE" w:rsidRDefault="00B64339" w:rsidP="00B64339">
            <w:pPr>
              <w:pStyle w:val="ListParagraph"/>
              <w:numPr>
                <w:ilvl w:val="0"/>
                <w:numId w:val="18"/>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Initial announcement of potential pumped hydro at Lake Lyell (late-2021)</w:t>
            </w:r>
          </w:p>
          <w:p w14:paraId="190150FB" w14:textId="77777777" w:rsidR="00B64339" w:rsidRPr="001E29AE" w:rsidRDefault="00B64339" w:rsidP="00B64339">
            <w:pPr>
              <w:pStyle w:val="ListParagraph"/>
              <w:numPr>
                <w:ilvl w:val="0"/>
                <w:numId w:val="18"/>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First town hall (Dec 2021) attended by 150+ locals — concerns raised on recreation, property values, noise, visuals, jobs, and transparency</w:t>
            </w:r>
          </w:p>
          <w:p w14:paraId="628C7E55" w14:textId="77777777" w:rsidR="00B64339" w:rsidRPr="001E29AE" w:rsidRDefault="00B64339" w:rsidP="00B64339">
            <w:pPr>
              <w:pStyle w:val="ListParagraph"/>
              <w:numPr>
                <w:ilvl w:val="0"/>
                <w:numId w:val="18"/>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Early engagement with the Concerned Lithgow Community Group</w:t>
            </w:r>
          </w:p>
        </w:tc>
        <w:tc>
          <w:tcPr>
            <w:tcW w:w="1843" w:type="dxa"/>
            <w:shd w:val="clear" w:color="auto" w:fill="E7F3DA" w:themeFill="accent2" w:themeFillTint="33"/>
          </w:tcPr>
          <w:p w14:paraId="42D768DB"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rStyle w:val="Strong"/>
              </w:rPr>
            </w:pPr>
            <w:r w:rsidRPr="001E29AE">
              <w:rPr>
                <w:rStyle w:val="Strong"/>
              </w:rPr>
              <w:t xml:space="preserve">We planned early </w:t>
            </w:r>
          </w:p>
          <w:p w14:paraId="5CDE7B90"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b/>
                <w:bCs/>
                <w:sz w:val="18"/>
                <w:szCs w:val="18"/>
              </w:rPr>
            </w:pPr>
            <w:r w:rsidRPr="001E29AE">
              <w:rPr>
                <w:rStyle w:val="Strong"/>
              </w:rPr>
              <w:t>We engaged early</w:t>
            </w:r>
          </w:p>
        </w:tc>
        <w:tc>
          <w:tcPr>
            <w:tcW w:w="2781" w:type="dxa"/>
          </w:tcPr>
          <w:p w14:paraId="5E3733A1"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Helped identify key interest groups and local concerns.</w:t>
            </w:r>
          </w:p>
        </w:tc>
      </w:tr>
      <w:tr w:rsidR="00B64339" w:rsidRPr="001E29AE" w14:paraId="1C7B9F44" w14:textId="77777777" w:rsidTr="00B64339">
        <w:trPr>
          <w:trHeight w:val="1134"/>
        </w:trPr>
        <w:tc>
          <w:tcPr>
            <w:cnfStyle w:val="001000000000" w:firstRow="0" w:lastRow="0" w:firstColumn="1" w:lastColumn="0" w:oddVBand="0" w:evenVBand="0" w:oddHBand="0" w:evenHBand="0" w:firstRowFirstColumn="0" w:firstRowLastColumn="0" w:lastRowFirstColumn="0" w:lastRowLastColumn="0"/>
            <w:tcW w:w="1479" w:type="dxa"/>
            <w:vMerge/>
            <w:shd w:val="clear" w:color="auto" w:fill="D0E8B5" w:themeFill="accent2" w:themeFillTint="66"/>
          </w:tcPr>
          <w:p w14:paraId="3D3D52B2" w14:textId="77777777" w:rsidR="00B64339" w:rsidRPr="001E29AE" w:rsidRDefault="00B64339" w:rsidP="00B64339">
            <w:pPr>
              <w:spacing w:before="60" w:after="60"/>
              <w:rPr>
                <w:rFonts w:ascii="MuseoSansRounded-300" w:hAnsi="MuseoSansRounded-300"/>
              </w:rPr>
            </w:pPr>
          </w:p>
        </w:tc>
        <w:tc>
          <w:tcPr>
            <w:tcW w:w="4328" w:type="dxa"/>
            <w:vMerge/>
          </w:tcPr>
          <w:p w14:paraId="749A4230" w14:textId="77777777" w:rsidR="00B64339" w:rsidRPr="001E29AE" w:rsidRDefault="00B64339" w:rsidP="00B64339">
            <w:pPr>
              <w:pStyle w:val="ListParagraph"/>
              <w:numPr>
                <w:ilvl w:val="0"/>
                <w:numId w:val="18"/>
              </w:numPr>
              <w:spacing w:before="60" w:after="60" w:line="278" w:lineRule="auto"/>
              <w:ind w:left="340" w:hanging="340"/>
              <w:cnfStyle w:val="000000000000" w:firstRow="0" w:lastRow="0" w:firstColumn="0" w:lastColumn="0" w:oddVBand="0" w:evenVBand="0" w:oddHBand="0" w:evenHBand="0" w:firstRowFirstColumn="0" w:firstRowLastColumn="0" w:lastRowFirstColumn="0" w:lastRowLastColumn="0"/>
              <w:rPr>
                <w:rFonts w:ascii="MuseoSansRounded-300" w:hAnsi="MuseoSansRounded-300"/>
                <w:sz w:val="18"/>
                <w:szCs w:val="18"/>
              </w:rPr>
            </w:pPr>
          </w:p>
        </w:tc>
        <w:tc>
          <w:tcPr>
            <w:tcW w:w="1843" w:type="dxa"/>
            <w:shd w:val="clear" w:color="auto" w:fill="E7F3DA" w:themeFill="accent2" w:themeFillTint="33"/>
          </w:tcPr>
          <w:p w14:paraId="5CEA2F3C"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rStyle w:val="Strong"/>
              </w:rPr>
            </w:pPr>
            <w:r w:rsidRPr="001E29AE">
              <w:rPr>
                <w:rStyle w:val="Strong"/>
              </w:rPr>
              <w:t>We identified matters of interest</w:t>
            </w:r>
          </w:p>
        </w:tc>
        <w:tc>
          <w:tcPr>
            <w:tcW w:w="2781" w:type="dxa"/>
          </w:tcPr>
          <w:p w14:paraId="1F22FE1F"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Informed development of the Community &amp; Stakeholder Engagement Plan.</w:t>
            </w:r>
          </w:p>
        </w:tc>
      </w:tr>
      <w:tr w:rsidR="00B64339" w:rsidRPr="001E29AE" w14:paraId="60A28A52" w14:textId="77777777" w:rsidTr="00B6433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79" w:type="dxa"/>
            <w:vMerge/>
            <w:shd w:val="clear" w:color="auto" w:fill="D0E8B5" w:themeFill="accent2" w:themeFillTint="66"/>
          </w:tcPr>
          <w:p w14:paraId="4D99A96D" w14:textId="77777777" w:rsidR="00B64339" w:rsidRPr="001E29AE" w:rsidRDefault="00B64339" w:rsidP="00B64339">
            <w:pPr>
              <w:spacing w:before="60" w:after="60"/>
              <w:rPr>
                <w:rFonts w:ascii="MuseoSansRounded-300" w:hAnsi="MuseoSansRounded-300"/>
              </w:rPr>
            </w:pPr>
          </w:p>
        </w:tc>
        <w:tc>
          <w:tcPr>
            <w:tcW w:w="4328" w:type="dxa"/>
            <w:vMerge/>
          </w:tcPr>
          <w:p w14:paraId="1B059D81" w14:textId="77777777" w:rsidR="00B64339" w:rsidRPr="001E29AE" w:rsidRDefault="00B64339" w:rsidP="00B64339">
            <w:pPr>
              <w:pStyle w:val="ListParagraph"/>
              <w:numPr>
                <w:ilvl w:val="0"/>
                <w:numId w:val="18"/>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rFonts w:ascii="MuseoSansRounded-300" w:hAnsi="MuseoSansRounded-300"/>
                <w:sz w:val="18"/>
                <w:szCs w:val="18"/>
              </w:rPr>
            </w:pPr>
          </w:p>
        </w:tc>
        <w:tc>
          <w:tcPr>
            <w:tcW w:w="1843" w:type="dxa"/>
            <w:shd w:val="clear" w:color="auto" w:fill="E7F3DA" w:themeFill="accent2" w:themeFillTint="33"/>
          </w:tcPr>
          <w:p w14:paraId="41782EB6"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rStyle w:val="Strong"/>
              </w:rPr>
            </w:pPr>
            <w:r w:rsidRPr="001E29AE">
              <w:rPr>
                <w:rStyle w:val="Strong"/>
              </w:rPr>
              <w:t>We identified groups with interest</w:t>
            </w:r>
          </w:p>
        </w:tc>
        <w:tc>
          <w:tcPr>
            <w:tcW w:w="2781" w:type="dxa"/>
          </w:tcPr>
          <w:p w14:paraId="3AA4D595"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Consistent with NSW Engagement Guidelines: early, open, inclusive and transparent.</w:t>
            </w:r>
          </w:p>
        </w:tc>
      </w:tr>
      <w:tr w:rsidR="00B64339" w:rsidRPr="001E29AE" w14:paraId="07B39D6B" w14:textId="77777777" w:rsidTr="00B64339">
        <w:trPr>
          <w:trHeight w:val="1134"/>
        </w:trPr>
        <w:tc>
          <w:tcPr>
            <w:cnfStyle w:val="001000000000" w:firstRow="0" w:lastRow="0" w:firstColumn="1" w:lastColumn="0" w:oddVBand="0" w:evenVBand="0" w:oddHBand="0" w:evenHBand="0" w:firstRowFirstColumn="0" w:firstRowLastColumn="0" w:lastRowFirstColumn="0" w:lastRowLastColumn="0"/>
            <w:tcW w:w="1479" w:type="dxa"/>
            <w:vMerge w:val="restart"/>
            <w:shd w:val="clear" w:color="auto" w:fill="D0E8B5" w:themeFill="accent2" w:themeFillTint="66"/>
          </w:tcPr>
          <w:p w14:paraId="56A159C8" w14:textId="77777777" w:rsidR="00B64339" w:rsidRPr="001E29AE" w:rsidRDefault="00B64339" w:rsidP="00B64339">
            <w:pPr>
              <w:spacing w:before="60" w:after="60"/>
              <w:rPr>
                <w:rStyle w:val="Strong"/>
              </w:rPr>
            </w:pPr>
            <w:r w:rsidRPr="001E29AE">
              <w:rPr>
                <w:rStyle w:val="Strong"/>
              </w:rPr>
              <w:t xml:space="preserve">Phase 2: </w:t>
            </w:r>
          </w:p>
          <w:p w14:paraId="06FE4060" w14:textId="77777777" w:rsidR="00B64339" w:rsidRPr="001E29AE" w:rsidRDefault="00B64339" w:rsidP="00B64339">
            <w:pPr>
              <w:spacing w:before="60" w:after="60"/>
            </w:pPr>
            <w:r w:rsidRPr="001E29AE">
              <w:rPr>
                <w:rStyle w:val="Strong"/>
              </w:rPr>
              <w:t>Feasibility &amp; EIS Scoping (2022–2023)</w:t>
            </w:r>
          </w:p>
        </w:tc>
        <w:tc>
          <w:tcPr>
            <w:tcW w:w="4328" w:type="dxa"/>
            <w:vMerge w:val="restart"/>
          </w:tcPr>
          <w:p w14:paraId="62F859DF" w14:textId="77777777" w:rsidR="00B64339" w:rsidRPr="001E29AE" w:rsidRDefault="00B64339" w:rsidP="00B64339">
            <w:pPr>
              <w:pStyle w:val="ListParagraph"/>
              <w:numPr>
                <w:ilvl w:val="0"/>
                <w:numId w:val="18"/>
              </w:numPr>
              <w:spacing w:before="60" w:after="60" w:line="278" w:lineRule="auto"/>
              <w:ind w:left="340" w:hanging="34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Community engagement plan activated; first round of pop</w:t>
            </w:r>
            <w:r w:rsidRPr="001E29AE">
              <w:rPr>
                <w:rFonts w:ascii="Cambria Math" w:hAnsi="Cambria Math" w:cs="Cambria Math"/>
                <w:sz w:val="18"/>
                <w:szCs w:val="18"/>
              </w:rPr>
              <w:t>‑</w:t>
            </w:r>
            <w:r w:rsidRPr="001E29AE">
              <w:rPr>
                <w:sz w:val="18"/>
                <w:szCs w:val="18"/>
              </w:rPr>
              <w:t>ups and newsletter to 5,198 households</w:t>
            </w:r>
          </w:p>
          <w:p w14:paraId="6C9CA649" w14:textId="77777777" w:rsidR="00B64339" w:rsidRPr="001E29AE" w:rsidRDefault="00B64339" w:rsidP="00B64339">
            <w:pPr>
              <w:pStyle w:val="ListParagraph"/>
              <w:numPr>
                <w:ilvl w:val="0"/>
                <w:numId w:val="18"/>
              </w:numPr>
              <w:spacing w:before="60" w:after="60" w:line="278" w:lineRule="auto"/>
              <w:ind w:left="340" w:hanging="34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Establishment of the ‘Lithgow Light the Way’ Facebook page, regular updates and visual content</w:t>
            </w:r>
          </w:p>
          <w:p w14:paraId="50A43C66" w14:textId="77777777" w:rsidR="00B64339" w:rsidRPr="001E29AE" w:rsidRDefault="00B64339" w:rsidP="00B64339">
            <w:pPr>
              <w:pStyle w:val="ListParagraph"/>
              <w:numPr>
                <w:ilvl w:val="0"/>
                <w:numId w:val="18"/>
              </w:numPr>
              <w:spacing w:before="60" w:after="60" w:line="278" w:lineRule="auto"/>
              <w:ind w:left="340" w:hanging="34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 xml:space="preserve">Cultural awareness training with </w:t>
            </w:r>
            <w:proofErr w:type="spellStart"/>
            <w:r w:rsidRPr="001E29AE">
              <w:rPr>
                <w:sz w:val="18"/>
                <w:szCs w:val="18"/>
              </w:rPr>
              <w:t>Mingaan</w:t>
            </w:r>
            <w:proofErr w:type="spellEnd"/>
            <w:r w:rsidRPr="001E29AE">
              <w:rPr>
                <w:sz w:val="18"/>
                <w:szCs w:val="18"/>
              </w:rPr>
              <w:t xml:space="preserve"> Wiradjuri Aboriginal Corporation</w:t>
            </w:r>
          </w:p>
          <w:p w14:paraId="47ADF4E3" w14:textId="77777777" w:rsidR="00B64339" w:rsidRPr="001E29AE" w:rsidRDefault="00B64339" w:rsidP="00B64339">
            <w:pPr>
              <w:pStyle w:val="ListParagraph"/>
              <w:numPr>
                <w:ilvl w:val="0"/>
                <w:numId w:val="18"/>
              </w:numPr>
              <w:spacing w:before="60" w:after="60" w:line="278" w:lineRule="auto"/>
              <w:ind w:left="340" w:hanging="34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Engagement with 48 near neighbours (door knocks, one-on-ones, tailored renders)</w:t>
            </w:r>
          </w:p>
          <w:p w14:paraId="77988E84" w14:textId="77777777" w:rsidR="00B64339" w:rsidRPr="001E29AE" w:rsidRDefault="00B64339" w:rsidP="00B64339">
            <w:pPr>
              <w:pStyle w:val="ListParagraph"/>
              <w:numPr>
                <w:ilvl w:val="0"/>
                <w:numId w:val="18"/>
              </w:numPr>
              <w:spacing w:before="60" w:after="60" w:line="278" w:lineRule="auto"/>
              <w:ind w:left="340" w:hanging="34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Design changes made to reduce visibility — upper reservoir moved behind Mount Walker ridge</w:t>
            </w:r>
          </w:p>
          <w:p w14:paraId="32A046EE" w14:textId="77777777" w:rsidR="00B64339" w:rsidRPr="001E29AE" w:rsidRDefault="00B64339" w:rsidP="00B64339">
            <w:pPr>
              <w:pStyle w:val="ListParagraph"/>
              <w:numPr>
                <w:ilvl w:val="0"/>
                <w:numId w:val="18"/>
              </w:numPr>
              <w:spacing w:before="60" w:after="60" w:line="278" w:lineRule="auto"/>
              <w:ind w:left="340" w:hanging="34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Submission of the Scoping Report (July 2023); Council briefings continued</w:t>
            </w:r>
          </w:p>
        </w:tc>
        <w:tc>
          <w:tcPr>
            <w:tcW w:w="1843" w:type="dxa"/>
            <w:shd w:val="clear" w:color="auto" w:fill="E7F3DA" w:themeFill="accent2" w:themeFillTint="33"/>
          </w:tcPr>
          <w:p w14:paraId="49CDDE5E"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rStyle w:val="Strong"/>
              </w:rPr>
            </w:pPr>
            <w:r w:rsidRPr="001E29AE">
              <w:rPr>
                <w:rStyle w:val="Strong"/>
              </w:rPr>
              <w:t>You influenced design</w:t>
            </w:r>
          </w:p>
        </w:tc>
        <w:tc>
          <w:tcPr>
            <w:tcW w:w="2781" w:type="dxa"/>
          </w:tcPr>
          <w:p w14:paraId="79D8A80B"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Design influenced by community feedback.</w:t>
            </w:r>
          </w:p>
        </w:tc>
      </w:tr>
      <w:tr w:rsidR="00B64339" w:rsidRPr="001E29AE" w14:paraId="7972118C" w14:textId="77777777" w:rsidTr="00B6433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79" w:type="dxa"/>
            <w:vMerge/>
            <w:shd w:val="clear" w:color="auto" w:fill="D0E8B5" w:themeFill="accent2" w:themeFillTint="66"/>
          </w:tcPr>
          <w:p w14:paraId="10AAC93F" w14:textId="77777777" w:rsidR="00B64339" w:rsidRPr="001E29AE" w:rsidRDefault="00B64339" w:rsidP="00B64339">
            <w:pPr>
              <w:spacing w:before="60" w:after="60"/>
              <w:rPr>
                <w:rFonts w:ascii="MuseoSansRounded-300" w:hAnsi="MuseoSansRounded-300"/>
              </w:rPr>
            </w:pPr>
          </w:p>
        </w:tc>
        <w:tc>
          <w:tcPr>
            <w:tcW w:w="4328" w:type="dxa"/>
            <w:vMerge/>
          </w:tcPr>
          <w:p w14:paraId="02F73248" w14:textId="77777777" w:rsidR="00B64339" w:rsidRPr="001E29AE" w:rsidRDefault="00B64339" w:rsidP="00B64339">
            <w:pPr>
              <w:spacing w:before="60" w:after="60"/>
              <w:ind w:left="340" w:hanging="340"/>
              <w:contextualSpacing/>
              <w:cnfStyle w:val="000000100000" w:firstRow="0" w:lastRow="0" w:firstColumn="0" w:lastColumn="0" w:oddVBand="0" w:evenVBand="0" w:oddHBand="1" w:evenHBand="0" w:firstRowFirstColumn="0" w:firstRowLastColumn="0" w:lastRowFirstColumn="0" w:lastRowLastColumn="0"/>
              <w:rPr>
                <w:rFonts w:ascii="MuseoSansRounded-300" w:hAnsi="MuseoSansRounded-300"/>
                <w:sz w:val="18"/>
                <w:szCs w:val="18"/>
              </w:rPr>
            </w:pPr>
          </w:p>
        </w:tc>
        <w:tc>
          <w:tcPr>
            <w:tcW w:w="1843" w:type="dxa"/>
            <w:shd w:val="clear" w:color="auto" w:fill="E7F3DA" w:themeFill="accent2" w:themeFillTint="33"/>
          </w:tcPr>
          <w:p w14:paraId="6050B711"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rStyle w:val="Strong"/>
              </w:rPr>
            </w:pPr>
            <w:r w:rsidRPr="001E29AE">
              <w:rPr>
                <w:rStyle w:val="Strong"/>
              </w:rPr>
              <w:t>We tailored engagement for neighbours</w:t>
            </w:r>
          </w:p>
        </w:tc>
        <w:tc>
          <w:tcPr>
            <w:tcW w:w="2781" w:type="dxa"/>
          </w:tcPr>
          <w:p w14:paraId="138BE8E3"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Neighbour engagement program established.</w:t>
            </w:r>
          </w:p>
        </w:tc>
      </w:tr>
      <w:tr w:rsidR="00B64339" w:rsidRPr="001E29AE" w14:paraId="2ECB1273" w14:textId="77777777" w:rsidTr="00B64339">
        <w:trPr>
          <w:trHeight w:val="1134"/>
        </w:trPr>
        <w:tc>
          <w:tcPr>
            <w:cnfStyle w:val="001000000000" w:firstRow="0" w:lastRow="0" w:firstColumn="1" w:lastColumn="0" w:oddVBand="0" w:evenVBand="0" w:oddHBand="0" w:evenHBand="0" w:firstRowFirstColumn="0" w:firstRowLastColumn="0" w:lastRowFirstColumn="0" w:lastRowLastColumn="0"/>
            <w:tcW w:w="1479" w:type="dxa"/>
            <w:vMerge/>
            <w:shd w:val="clear" w:color="auto" w:fill="D0E8B5" w:themeFill="accent2" w:themeFillTint="66"/>
          </w:tcPr>
          <w:p w14:paraId="281813D5" w14:textId="77777777" w:rsidR="00B64339" w:rsidRPr="001E29AE" w:rsidRDefault="00B64339" w:rsidP="00B64339">
            <w:pPr>
              <w:spacing w:before="60" w:after="60"/>
              <w:rPr>
                <w:rFonts w:ascii="MuseoSansRounded-300" w:hAnsi="MuseoSansRounded-300"/>
              </w:rPr>
            </w:pPr>
          </w:p>
        </w:tc>
        <w:tc>
          <w:tcPr>
            <w:tcW w:w="4328" w:type="dxa"/>
            <w:vMerge/>
          </w:tcPr>
          <w:p w14:paraId="3EBDA27A" w14:textId="77777777" w:rsidR="00B64339" w:rsidRPr="001E29AE" w:rsidRDefault="00B64339" w:rsidP="00B64339">
            <w:pPr>
              <w:spacing w:before="60" w:after="60"/>
              <w:ind w:left="340" w:hanging="340"/>
              <w:contextualSpacing/>
              <w:cnfStyle w:val="000000000000" w:firstRow="0" w:lastRow="0" w:firstColumn="0" w:lastColumn="0" w:oddVBand="0" w:evenVBand="0" w:oddHBand="0" w:evenHBand="0" w:firstRowFirstColumn="0" w:firstRowLastColumn="0" w:lastRowFirstColumn="0" w:lastRowLastColumn="0"/>
              <w:rPr>
                <w:rFonts w:ascii="MuseoSansRounded-300" w:hAnsi="MuseoSansRounded-300"/>
                <w:sz w:val="18"/>
                <w:szCs w:val="18"/>
              </w:rPr>
            </w:pPr>
          </w:p>
        </w:tc>
        <w:tc>
          <w:tcPr>
            <w:tcW w:w="1843" w:type="dxa"/>
            <w:shd w:val="clear" w:color="auto" w:fill="E7F3DA" w:themeFill="accent2" w:themeFillTint="33"/>
          </w:tcPr>
          <w:p w14:paraId="0C0F02D5"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rStyle w:val="Strong"/>
              </w:rPr>
            </w:pPr>
            <w:r w:rsidRPr="001E29AE">
              <w:rPr>
                <w:rStyle w:val="Strong"/>
              </w:rPr>
              <w:t>We increased access to project information</w:t>
            </w:r>
          </w:p>
        </w:tc>
        <w:tc>
          <w:tcPr>
            <w:tcW w:w="2781" w:type="dxa"/>
          </w:tcPr>
          <w:p w14:paraId="36EC570F"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Improved transparency and access to information (website, social media, newsletters, Project HQ).</w:t>
            </w:r>
          </w:p>
          <w:p w14:paraId="23D49E56"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Feasibility phase aligned with NSW Engagement Guidelines — targeted, effective, proportionate.</w:t>
            </w:r>
          </w:p>
        </w:tc>
      </w:tr>
      <w:tr w:rsidR="00B64339" w:rsidRPr="001E29AE" w14:paraId="7E8FEB1D" w14:textId="77777777" w:rsidTr="00B64339">
        <w:trPr>
          <w:cnfStyle w:val="000000100000" w:firstRow="0" w:lastRow="0" w:firstColumn="0" w:lastColumn="0" w:oddVBand="0" w:evenVBand="0" w:oddHBand="1" w:evenHBand="0" w:firstRowFirstColumn="0" w:firstRowLastColumn="0" w:lastRowFirstColumn="0" w:lastRowLastColumn="0"/>
          <w:trHeight w:val="2056"/>
        </w:trPr>
        <w:tc>
          <w:tcPr>
            <w:cnfStyle w:val="001000000000" w:firstRow="0" w:lastRow="0" w:firstColumn="1" w:lastColumn="0" w:oddVBand="0" w:evenVBand="0" w:oddHBand="0" w:evenHBand="0" w:firstRowFirstColumn="0" w:firstRowLastColumn="0" w:lastRowFirstColumn="0" w:lastRowLastColumn="0"/>
            <w:tcW w:w="1479" w:type="dxa"/>
            <w:vMerge w:val="restart"/>
            <w:shd w:val="clear" w:color="auto" w:fill="D0E8B5" w:themeFill="accent2" w:themeFillTint="66"/>
          </w:tcPr>
          <w:p w14:paraId="3F8F8B03" w14:textId="77777777" w:rsidR="00B64339" w:rsidRPr="001E29AE" w:rsidRDefault="00B64339" w:rsidP="00B64339">
            <w:pPr>
              <w:spacing w:before="60" w:after="60"/>
              <w:rPr>
                <w:rStyle w:val="Strong"/>
              </w:rPr>
            </w:pPr>
            <w:r w:rsidRPr="001E29AE">
              <w:rPr>
                <w:rStyle w:val="Strong"/>
              </w:rPr>
              <w:t xml:space="preserve">Phase 3: </w:t>
            </w:r>
          </w:p>
          <w:p w14:paraId="00D4C5A4" w14:textId="77777777" w:rsidR="00B64339" w:rsidRPr="001E29AE" w:rsidRDefault="00B64339" w:rsidP="00B64339">
            <w:pPr>
              <w:spacing w:before="60" w:after="60"/>
            </w:pPr>
            <w:r w:rsidRPr="001E29AE">
              <w:rPr>
                <w:rStyle w:val="Strong"/>
              </w:rPr>
              <w:t>EIS Preparation &amp; Impact Assessment (2023–2025)</w:t>
            </w:r>
          </w:p>
        </w:tc>
        <w:tc>
          <w:tcPr>
            <w:tcW w:w="4328" w:type="dxa"/>
            <w:vMerge w:val="restart"/>
          </w:tcPr>
          <w:p w14:paraId="7DAEC5FE"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EIS studies commenced (Aug 2023); accessible info provided via newsletter and online</w:t>
            </w:r>
          </w:p>
          <w:p w14:paraId="34EEA1ED"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Project HQ opened in Lithgow (Dec 2023) for in-person engagement</w:t>
            </w:r>
          </w:p>
          <w:p w14:paraId="41C6E1D5"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Platypus study with community participation and UNSW experts</w:t>
            </w:r>
          </w:p>
          <w:p w14:paraId="05D26EF7"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Workshops held to co-design Community Benefit Sharing Program</w:t>
            </w:r>
          </w:p>
          <w:p w14:paraId="74F7B140"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Cultural heritage assessments conducted with 21 Registered Aboriginal Parties — over 1,300 artefacts identified and returned to Country (March 2025)</w:t>
            </w:r>
          </w:p>
          <w:p w14:paraId="5D57D4F1"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Pop-ups, webinars, and doorknocks continued across Lithgow, Wallerawang, Portland, and Rydal</w:t>
            </w:r>
          </w:p>
          <w:p w14:paraId="0D910296"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Neighbour Agreement Guide (formerly known as the Neighbour Benefit Guide) released (June 2024) and updated (April 2025)</w:t>
            </w:r>
          </w:p>
          <w:p w14:paraId="0F1CF097"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Fifth round of pop-ups (Feb-Mar 2025); feedback sought on workers’ accommodation</w:t>
            </w:r>
          </w:p>
          <w:p w14:paraId="644677E4" w14:textId="77777777" w:rsidR="00B64339" w:rsidRPr="001E29AE" w:rsidRDefault="00B64339" w:rsidP="00B64339">
            <w:pPr>
              <w:pStyle w:val="ListParagraph"/>
              <w:numPr>
                <w:ilvl w:val="0"/>
                <w:numId w:val="19"/>
              </w:numPr>
              <w:spacing w:before="60" w:after="60" w:line="278" w:lineRule="auto"/>
              <w:ind w:left="340" w:hanging="34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Council engagement is ongoing (Nov 2024)</w:t>
            </w:r>
          </w:p>
        </w:tc>
        <w:tc>
          <w:tcPr>
            <w:tcW w:w="1843" w:type="dxa"/>
            <w:shd w:val="clear" w:color="auto" w:fill="E7F3DA" w:themeFill="accent2" w:themeFillTint="33"/>
          </w:tcPr>
          <w:p w14:paraId="7E725804"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rStyle w:val="Strong"/>
              </w:rPr>
            </w:pPr>
            <w:r w:rsidRPr="001E29AE">
              <w:rPr>
                <w:rStyle w:val="Strong"/>
              </w:rPr>
              <w:t xml:space="preserve">You helped us co-design </w:t>
            </w:r>
          </w:p>
          <w:p w14:paraId="03A78AC4"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b/>
                <w:bCs/>
                <w:sz w:val="18"/>
                <w:szCs w:val="18"/>
              </w:rPr>
            </w:pPr>
            <w:r w:rsidRPr="001E29AE">
              <w:rPr>
                <w:rStyle w:val="Strong"/>
              </w:rPr>
              <w:t>You participated in studies</w:t>
            </w:r>
          </w:p>
        </w:tc>
        <w:tc>
          <w:tcPr>
            <w:tcW w:w="2781" w:type="dxa"/>
          </w:tcPr>
          <w:p w14:paraId="4D8337AD"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Widespread involvement in technical and cultural studies.</w:t>
            </w:r>
          </w:p>
          <w:p w14:paraId="3DFBC3B6"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Co-designed mitigation and benefit-sharing approaches for neighbours and community.</w:t>
            </w:r>
          </w:p>
        </w:tc>
      </w:tr>
      <w:tr w:rsidR="00B64339" w:rsidRPr="001E29AE" w14:paraId="10B1805E" w14:textId="77777777" w:rsidTr="00B64339">
        <w:trPr>
          <w:trHeight w:val="1703"/>
        </w:trPr>
        <w:tc>
          <w:tcPr>
            <w:cnfStyle w:val="001000000000" w:firstRow="0" w:lastRow="0" w:firstColumn="1" w:lastColumn="0" w:oddVBand="0" w:evenVBand="0" w:oddHBand="0" w:evenHBand="0" w:firstRowFirstColumn="0" w:firstRowLastColumn="0" w:lastRowFirstColumn="0" w:lastRowLastColumn="0"/>
            <w:tcW w:w="1479" w:type="dxa"/>
            <w:vMerge/>
            <w:shd w:val="clear" w:color="auto" w:fill="D0E8B5" w:themeFill="accent2" w:themeFillTint="66"/>
          </w:tcPr>
          <w:p w14:paraId="723BBB1B" w14:textId="77777777" w:rsidR="00B64339" w:rsidRPr="001E29AE" w:rsidRDefault="00B64339" w:rsidP="00B64339">
            <w:pPr>
              <w:spacing w:before="60" w:after="60"/>
              <w:rPr>
                <w:rFonts w:ascii="MuseoSansRounded-300" w:hAnsi="MuseoSansRounded-300"/>
              </w:rPr>
            </w:pPr>
          </w:p>
        </w:tc>
        <w:tc>
          <w:tcPr>
            <w:tcW w:w="4328" w:type="dxa"/>
            <w:vMerge/>
          </w:tcPr>
          <w:p w14:paraId="7885F982"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rFonts w:ascii="MuseoSansRounded-300" w:hAnsi="MuseoSansRounded-300"/>
              </w:rPr>
            </w:pPr>
          </w:p>
        </w:tc>
        <w:tc>
          <w:tcPr>
            <w:tcW w:w="1843" w:type="dxa"/>
            <w:shd w:val="clear" w:color="auto" w:fill="E7F3DA" w:themeFill="accent2" w:themeFillTint="33"/>
          </w:tcPr>
          <w:p w14:paraId="46C1F66C"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rStyle w:val="Strong"/>
              </w:rPr>
            </w:pPr>
            <w:r w:rsidRPr="001E29AE">
              <w:rPr>
                <w:rStyle w:val="Strong"/>
              </w:rPr>
              <w:t>You accessed information in many ways</w:t>
            </w:r>
          </w:p>
        </w:tc>
        <w:tc>
          <w:tcPr>
            <w:tcW w:w="2781" w:type="dxa"/>
          </w:tcPr>
          <w:p w14:paraId="1A17735D" w14:textId="77777777" w:rsidR="00B64339" w:rsidRPr="001E29AE" w:rsidRDefault="00B64339" w:rsidP="00B64339">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E29AE">
              <w:rPr>
                <w:sz w:val="18"/>
                <w:szCs w:val="18"/>
              </w:rPr>
              <w:t>Improved project understanding through HQ, online, videos, newsletters, and Project HQ.</w:t>
            </w:r>
          </w:p>
        </w:tc>
      </w:tr>
      <w:tr w:rsidR="00B64339" w:rsidRPr="001E29AE" w14:paraId="4605A26F" w14:textId="77777777" w:rsidTr="00B6433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79" w:type="dxa"/>
            <w:vMerge/>
            <w:shd w:val="clear" w:color="auto" w:fill="D0E8B5" w:themeFill="accent2" w:themeFillTint="66"/>
          </w:tcPr>
          <w:p w14:paraId="049657DD" w14:textId="77777777" w:rsidR="00B64339" w:rsidRPr="001E29AE" w:rsidRDefault="00B64339" w:rsidP="00B64339">
            <w:pPr>
              <w:spacing w:before="60" w:after="60"/>
              <w:rPr>
                <w:rFonts w:ascii="MuseoSansRounded-300" w:hAnsi="MuseoSansRounded-300"/>
              </w:rPr>
            </w:pPr>
          </w:p>
        </w:tc>
        <w:tc>
          <w:tcPr>
            <w:tcW w:w="4328" w:type="dxa"/>
            <w:vMerge/>
          </w:tcPr>
          <w:p w14:paraId="16B5783A"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rFonts w:ascii="MuseoSansRounded-300" w:hAnsi="MuseoSansRounded-300"/>
              </w:rPr>
            </w:pPr>
          </w:p>
        </w:tc>
        <w:tc>
          <w:tcPr>
            <w:tcW w:w="1843" w:type="dxa"/>
            <w:shd w:val="clear" w:color="auto" w:fill="E7F3DA" w:themeFill="accent2" w:themeFillTint="33"/>
          </w:tcPr>
          <w:p w14:paraId="4AD212B9"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rStyle w:val="Strong"/>
              </w:rPr>
            </w:pPr>
            <w:r w:rsidRPr="001E29AE">
              <w:rPr>
                <w:rStyle w:val="Strong"/>
              </w:rPr>
              <w:t>Eligible neighbours received draft agreements</w:t>
            </w:r>
          </w:p>
        </w:tc>
        <w:tc>
          <w:tcPr>
            <w:tcW w:w="2781" w:type="dxa"/>
          </w:tcPr>
          <w:p w14:paraId="7825323F" w14:textId="77777777" w:rsidR="00B64339" w:rsidRPr="001E29AE" w:rsidRDefault="00B64339" w:rsidP="00B643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E29AE">
              <w:rPr>
                <w:sz w:val="18"/>
                <w:szCs w:val="18"/>
              </w:rPr>
              <w:t>Responsive, timely and inclusive engagement ahead of EIS exhibition.</w:t>
            </w:r>
          </w:p>
        </w:tc>
      </w:tr>
    </w:tbl>
    <w:p w14:paraId="6135466D" w14:textId="77777777" w:rsidR="00B64339" w:rsidRPr="001E29AE" w:rsidRDefault="00B64339" w:rsidP="00B64339"/>
    <w:p w14:paraId="53DBB616" w14:textId="77777777" w:rsidR="00B64339" w:rsidRPr="001E29AE" w:rsidRDefault="00B64339" w:rsidP="001E29AE">
      <w:pPr>
        <w:spacing w:before="240"/>
      </w:pPr>
      <w:r w:rsidRPr="001E29AE">
        <w:rPr>
          <w:noProof/>
        </w:rPr>
        <w:lastRenderedPageBreak/>
        <w:drawing>
          <wp:inline distT="0" distB="0" distL="0" distR="0" wp14:anchorId="60652E99" wp14:editId="44F78445">
            <wp:extent cx="6622717" cy="4297680"/>
            <wp:effectExtent l="0" t="0" r="6985" b="7620"/>
            <wp:docPr id="2" name="Picture 2" descr="Community engagement at the Rydal Show i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ty engagement at the Rydal Show in 2025."/>
                    <pic:cNvPicPr>
                      <a:picLocks noChangeAspect="1" noChangeArrowheads="1"/>
                    </pic:cNvPicPr>
                  </pic:nvPicPr>
                  <pic:blipFill rotWithShape="1">
                    <a:blip r:embed="rId13">
                      <a:extLst>
                        <a:ext uri="{28A0092B-C50C-407E-A947-70E740481C1C}">
                          <a14:useLocalDpi xmlns:a14="http://schemas.microsoft.com/office/drawing/2010/main" val="0"/>
                        </a:ext>
                      </a:extLst>
                    </a:blip>
                    <a:srcRect t="18491" b="32837"/>
                    <a:stretch>
                      <a:fillRect/>
                    </a:stretch>
                  </pic:blipFill>
                  <pic:spPr bwMode="auto">
                    <a:xfrm>
                      <a:off x="0" y="0"/>
                      <a:ext cx="6623050" cy="4297896"/>
                    </a:xfrm>
                    <a:prstGeom prst="rect">
                      <a:avLst/>
                    </a:prstGeom>
                    <a:noFill/>
                    <a:ln>
                      <a:noFill/>
                    </a:ln>
                    <a:extLst>
                      <a:ext uri="{53640926-AAD7-44D8-BBD7-CCE9431645EC}">
                        <a14:shadowObscured xmlns:a14="http://schemas.microsoft.com/office/drawing/2010/main"/>
                      </a:ext>
                    </a:extLst>
                  </pic:spPr>
                </pic:pic>
              </a:graphicData>
            </a:graphic>
          </wp:inline>
        </w:drawing>
      </w:r>
    </w:p>
    <w:p w14:paraId="2EE558D0" w14:textId="77777777" w:rsidR="00B64339" w:rsidRPr="001E29AE" w:rsidRDefault="00B64339" w:rsidP="00B64339">
      <w:pPr>
        <w:pStyle w:val="ImageCaption"/>
      </w:pPr>
      <w:r w:rsidRPr="001E29AE">
        <w:t>Community engagement at the Rydal Show in 2025.</w:t>
      </w:r>
    </w:p>
    <w:p w14:paraId="2F8CEFD7" w14:textId="77777777" w:rsidR="00B64339" w:rsidRPr="001E29AE" w:rsidRDefault="00B64339" w:rsidP="00B64339">
      <w:pPr>
        <w:pStyle w:val="Heading2"/>
      </w:pPr>
      <w:bookmarkStart w:id="6" w:name="_Toc213403413"/>
      <w:r w:rsidRPr="001E29AE">
        <w:t>Have your say on engagement</w:t>
      </w:r>
      <w:bookmarkEnd w:id="6"/>
    </w:p>
    <w:p w14:paraId="4CD9E17F" w14:textId="77777777" w:rsidR="00B64339" w:rsidRPr="001E29AE" w:rsidRDefault="00B64339" w:rsidP="00B64339">
      <w:r w:rsidRPr="001E29AE">
        <w:t>Everyone can continue to share their views and feedback as the project progresses. This includes:</w:t>
      </w:r>
    </w:p>
    <w:p w14:paraId="5DACAF89" w14:textId="77777777" w:rsidR="00B64339" w:rsidRPr="001E29AE" w:rsidRDefault="00B64339" w:rsidP="00B64339">
      <w:pPr>
        <w:pStyle w:val="ListParagraph"/>
        <w:numPr>
          <w:ilvl w:val="0"/>
          <w:numId w:val="20"/>
        </w:numPr>
        <w:spacing w:before="0" w:after="160" w:line="278" w:lineRule="auto"/>
      </w:pPr>
      <w:r w:rsidRPr="001E29AE">
        <w:t>reviewing shared information on potential impacts and mitigation measures</w:t>
      </w:r>
    </w:p>
    <w:p w14:paraId="44D6F1E9" w14:textId="77777777" w:rsidR="00B64339" w:rsidRPr="001E29AE" w:rsidRDefault="00B64339" w:rsidP="00B64339">
      <w:pPr>
        <w:pStyle w:val="ListParagraph"/>
        <w:numPr>
          <w:ilvl w:val="0"/>
          <w:numId w:val="20"/>
        </w:numPr>
        <w:spacing w:before="0" w:after="160" w:line="278" w:lineRule="auto"/>
      </w:pPr>
      <w:r w:rsidRPr="001E29AE">
        <w:t>providing input on proposed plans and approaches</w:t>
      </w:r>
    </w:p>
    <w:p w14:paraId="050B5B01" w14:textId="77777777" w:rsidR="00B64339" w:rsidRPr="001E29AE" w:rsidRDefault="00B64339" w:rsidP="00B64339">
      <w:pPr>
        <w:pStyle w:val="ListParagraph"/>
        <w:numPr>
          <w:ilvl w:val="0"/>
          <w:numId w:val="20"/>
        </w:numPr>
        <w:spacing w:before="0" w:after="160" w:line="278" w:lineRule="auto"/>
      </w:pPr>
      <w:r w:rsidRPr="001E29AE">
        <w:t>participating in ongoing engagement activities such as meetings, pop-ups, and one-on-one discussions</w:t>
      </w:r>
    </w:p>
    <w:p w14:paraId="1FAEE34C" w14:textId="77777777" w:rsidR="00B64339" w:rsidRPr="001E29AE" w:rsidRDefault="00B64339" w:rsidP="00B64339">
      <w:pPr>
        <w:pStyle w:val="ListParagraph"/>
        <w:numPr>
          <w:ilvl w:val="0"/>
          <w:numId w:val="20"/>
        </w:numPr>
        <w:spacing w:before="0" w:after="160" w:line="278" w:lineRule="auto"/>
      </w:pPr>
      <w:r w:rsidRPr="001E29AE">
        <w:t>submitting feedback through online platforms or direct contact</w:t>
      </w:r>
    </w:p>
    <w:p w14:paraId="13529B5A" w14:textId="77777777" w:rsidR="00B64339" w:rsidRPr="001E29AE" w:rsidRDefault="00B64339" w:rsidP="00B64339">
      <w:pPr>
        <w:pStyle w:val="Heading2"/>
      </w:pPr>
      <w:bookmarkStart w:id="7" w:name="_Toc213403414"/>
      <w:r w:rsidRPr="001E29AE">
        <w:t>How we will use your feedback</w:t>
      </w:r>
      <w:bookmarkEnd w:id="7"/>
      <w:r w:rsidRPr="001E29AE">
        <w:t xml:space="preserve"> </w:t>
      </w:r>
    </w:p>
    <w:p w14:paraId="631E7CC6" w14:textId="77777777" w:rsidR="00B64339" w:rsidRPr="001E29AE" w:rsidRDefault="00B64339" w:rsidP="00B64339">
      <w:r w:rsidRPr="001E29AE">
        <w:t>Any feedback you provide before the Environmental Impact Statement is submitted will be recorded and, where appropriate, used to help refine the assessment and improve project outcomes.</w:t>
      </w:r>
    </w:p>
    <w:p w14:paraId="7C72FB71" w14:textId="77777777" w:rsidR="00527D01" w:rsidRPr="001E29AE" w:rsidRDefault="00527D01" w:rsidP="004273E4">
      <w:pPr>
        <w:pStyle w:val="Heading2Shaded"/>
      </w:pPr>
      <w:bookmarkStart w:id="8" w:name="_Toc213403415"/>
      <w:r w:rsidRPr="001E29AE">
        <w:t>Engage with us</w:t>
      </w:r>
      <w:bookmarkEnd w:id="8"/>
      <w:r w:rsidRPr="001E29AE">
        <w:t xml:space="preserve"> </w:t>
      </w:r>
    </w:p>
    <w:p w14:paraId="62252A04" w14:textId="77777777" w:rsidR="00527D01" w:rsidRPr="001E29AE" w:rsidRDefault="00527D01" w:rsidP="004273E4">
      <w:pPr>
        <w:pStyle w:val="NormalShadedLightGreen"/>
      </w:pPr>
      <w:r w:rsidRPr="001E29AE">
        <w:t xml:space="preserve">There are many ways to have your say during the targeted community consultation running from 15 Oct to 30 Nov 2025 — online, in person, by phone or email. Find out more at: </w:t>
      </w:r>
    </w:p>
    <w:p w14:paraId="46C9C0FB" w14:textId="77777777" w:rsidR="00527D01" w:rsidRPr="001E29AE" w:rsidRDefault="00527D01" w:rsidP="004273E4">
      <w:pPr>
        <w:pStyle w:val="NormalShadedLightGreen"/>
        <w:rPr>
          <w:rStyle w:val="Hyperlink"/>
          <w:b/>
          <w:bCs/>
        </w:rPr>
      </w:pPr>
      <w:hyperlink r:id="rId14" w:history="1">
        <w:r w:rsidRPr="001E29AE">
          <w:rPr>
            <w:rStyle w:val="Hyperlink"/>
            <w:b/>
            <w:bCs/>
          </w:rPr>
          <w:t>lakelyellpumpedhydro.com.au</w:t>
        </w:r>
      </w:hyperlink>
    </w:p>
    <w:p w14:paraId="44FD3BBE" w14:textId="77777777" w:rsidR="00527D01" w:rsidRPr="001E29AE" w:rsidRDefault="00527D01" w:rsidP="00527D01">
      <w:r w:rsidRPr="001E29AE">
        <w:br w:type="page"/>
      </w:r>
    </w:p>
    <w:p w14:paraId="06CF736B" w14:textId="77777777" w:rsidR="001E29AE" w:rsidRPr="001E29AE" w:rsidRDefault="001E29AE" w:rsidP="001E29AE">
      <w:pPr>
        <w:spacing w:after="9480"/>
      </w:pPr>
      <w:r w:rsidRPr="001E29AE">
        <w:rPr>
          <w:noProof/>
        </w:rPr>
        <w:lastRenderedPageBreak/>
        <w:drawing>
          <wp:anchor distT="0" distB="0" distL="114300" distR="114300" simplePos="0" relativeHeight="251660288" behindDoc="1" locked="1" layoutInCell="1" allowOverlap="1" wp14:anchorId="5F8B8E82" wp14:editId="07E70BBD">
            <wp:simplePos x="0" y="0"/>
            <wp:positionH relativeFrom="page">
              <wp:align>left</wp:align>
            </wp:positionH>
            <wp:positionV relativeFrom="page">
              <wp:align>bottom</wp:align>
            </wp:positionV>
            <wp:extent cx="7558560" cy="14400000"/>
            <wp:effectExtent l="0" t="0" r="4445" b="1905"/>
            <wp:wrapNone/>
            <wp:docPr id="18141885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4188559" name="Picture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7558560" cy="14400000"/>
                    </a:xfrm>
                    <a:prstGeom prst="rect">
                      <a:avLst/>
                    </a:prstGeom>
                  </pic:spPr>
                </pic:pic>
              </a:graphicData>
            </a:graphic>
            <wp14:sizeRelH relativeFrom="margin">
              <wp14:pctWidth>0</wp14:pctWidth>
            </wp14:sizeRelH>
            <wp14:sizeRelV relativeFrom="margin">
              <wp14:pctHeight>0</wp14:pctHeight>
            </wp14:sizeRelV>
          </wp:anchor>
        </w:drawing>
      </w:r>
    </w:p>
    <w:p w14:paraId="41E9CAB4" w14:textId="01B256A0" w:rsidR="00527D01" w:rsidRPr="001E29AE" w:rsidRDefault="00527D01" w:rsidP="00427B4E">
      <w:pPr>
        <w:spacing w:after="600"/>
        <w:rPr>
          <w:i/>
          <w:iCs/>
          <w:color w:val="FFFFFF" w:themeColor="background1"/>
        </w:rPr>
      </w:pPr>
      <w:r w:rsidRPr="001E29AE">
        <w:rPr>
          <w:i/>
          <w:iCs/>
          <w:color w:val="FFFFFF" w:themeColor="background1"/>
        </w:rPr>
        <w:t>Consultation purposes only: This document is provided for community consultation purposes and the information it contains may be updated or revised in the final Environmental Impact Statement.</w:t>
      </w:r>
    </w:p>
    <w:p w14:paraId="168B179A" w14:textId="77777777" w:rsidR="00427B4E" w:rsidRPr="001E29AE" w:rsidRDefault="00427B4E" w:rsidP="00527D01">
      <w:pPr>
        <w:pStyle w:val="Heading2"/>
        <w:sectPr w:rsidR="00427B4E" w:rsidRPr="001E29AE" w:rsidSect="00A34C65">
          <w:headerReference w:type="default" r:id="rId16"/>
          <w:footerReference w:type="default" r:id="rId17"/>
          <w:footerReference w:type="first" r:id="rId18"/>
          <w:type w:val="continuous"/>
          <w:pgSz w:w="11906" w:h="16838" w:code="9"/>
          <w:pgMar w:top="567" w:right="737" w:bottom="567" w:left="737" w:header="283" w:footer="340" w:gutter="0"/>
          <w:cols w:space="708"/>
          <w:titlePg/>
          <w:docGrid w:linePitch="360"/>
        </w:sectPr>
      </w:pPr>
    </w:p>
    <w:p w14:paraId="41123DB2" w14:textId="77777777" w:rsidR="00527D01" w:rsidRPr="001E29AE" w:rsidRDefault="00527D01" w:rsidP="00527D01">
      <w:pPr>
        <w:pStyle w:val="Heading2"/>
      </w:pPr>
      <w:bookmarkStart w:id="9" w:name="_Toc213403416"/>
      <w:r w:rsidRPr="001E29AE">
        <w:t>Learn more</w:t>
      </w:r>
      <w:bookmarkEnd w:id="9"/>
    </w:p>
    <w:p w14:paraId="73D5BB7D" w14:textId="77777777" w:rsidR="00527D01" w:rsidRPr="001E29AE" w:rsidRDefault="00527D01" w:rsidP="00527D01">
      <w:r w:rsidRPr="001E29AE">
        <w:rPr>
          <w:noProof/>
        </w:rPr>
        <w:drawing>
          <wp:inline distT="0" distB="0" distL="0" distR="0" wp14:anchorId="18DEAA8A" wp14:editId="6FEE2FA7">
            <wp:extent cx="796925" cy="796925"/>
            <wp:effectExtent l="0" t="0" r="3175" b="3175"/>
            <wp:docPr id="3" name="Picture 1" descr="Q R code linking to the Lake Lyell Pumped Hydr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Q R code linking to the Lake Lyell Pumped Hydro website"/>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96925" cy="796925"/>
                    </a:xfrm>
                    <a:prstGeom prst="rect">
                      <a:avLst/>
                    </a:prstGeom>
                    <a:noFill/>
                    <a:ln>
                      <a:noFill/>
                    </a:ln>
                  </pic:spPr>
                </pic:pic>
              </a:graphicData>
            </a:graphic>
          </wp:inline>
        </w:drawing>
      </w:r>
    </w:p>
    <w:p w14:paraId="6986A4D7" w14:textId="77777777" w:rsidR="00527D01" w:rsidRPr="001E29AE" w:rsidRDefault="00527D01" w:rsidP="00527D01">
      <w:pPr>
        <w:pStyle w:val="Heading2"/>
      </w:pPr>
      <w:bookmarkStart w:id="10" w:name="_Toc213403417"/>
      <w:r w:rsidRPr="001E29AE">
        <w:t>Get in touch</w:t>
      </w:r>
      <w:bookmarkEnd w:id="10"/>
    </w:p>
    <w:p w14:paraId="6D6EC4D0" w14:textId="77777777" w:rsidR="00527D01" w:rsidRPr="001E29AE" w:rsidRDefault="00527D01" w:rsidP="00527D01">
      <w:r w:rsidRPr="001E29AE">
        <w:rPr>
          <w:rStyle w:val="Strong"/>
        </w:rPr>
        <w:t>E</w:t>
      </w:r>
      <w:r w:rsidRPr="001E29AE">
        <w:tab/>
      </w:r>
      <w:hyperlink r:id="rId20" w:history="1">
        <w:r w:rsidRPr="001E29AE">
          <w:rPr>
            <w:rStyle w:val="Hyperlink"/>
          </w:rPr>
          <w:t>community@EnergyAustralia.com.au</w:t>
        </w:r>
      </w:hyperlink>
      <w:r w:rsidRPr="001E29AE">
        <w:br/>
      </w:r>
      <w:r w:rsidRPr="001E29AE">
        <w:rPr>
          <w:rStyle w:val="Strong"/>
        </w:rPr>
        <w:t>P</w:t>
      </w:r>
      <w:r w:rsidRPr="001E29AE">
        <w:tab/>
        <w:t>1800 574 947</w:t>
      </w:r>
      <w:r w:rsidRPr="001E29AE">
        <w:br/>
      </w:r>
      <w:r w:rsidRPr="001E29AE">
        <w:rPr>
          <w:rStyle w:val="Strong"/>
        </w:rPr>
        <w:t>A</w:t>
      </w:r>
      <w:r w:rsidRPr="001E29AE">
        <w:tab/>
      </w:r>
      <w:proofErr w:type="spellStart"/>
      <w:r w:rsidRPr="001E29AE">
        <w:t>EnergyAustralia</w:t>
      </w:r>
      <w:proofErr w:type="spellEnd"/>
      <w:r w:rsidRPr="001E29AE">
        <w:t xml:space="preserve"> Project HQ, </w:t>
      </w:r>
      <w:r w:rsidRPr="001E29AE">
        <w:br/>
      </w:r>
      <w:r w:rsidRPr="001E29AE">
        <w:tab/>
        <w:t>124 Main St, Lithgow</w:t>
      </w:r>
      <w:r w:rsidRPr="001E29AE">
        <w:br/>
      </w:r>
      <w:r w:rsidRPr="001E29AE">
        <w:rPr>
          <w:rStyle w:val="Strong"/>
        </w:rPr>
        <w:t>W</w:t>
      </w:r>
      <w:r w:rsidRPr="001E29AE">
        <w:tab/>
      </w:r>
      <w:hyperlink r:id="rId21" w:history="1">
        <w:r w:rsidRPr="001E29AE">
          <w:rPr>
            <w:rStyle w:val="Hyperlink"/>
          </w:rPr>
          <w:t>lakelyellpumpedhydro.com.au</w:t>
        </w:r>
      </w:hyperlink>
    </w:p>
    <w:p w14:paraId="4D81514E" w14:textId="71152950" w:rsidR="00527D01" w:rsidRPr="001E29AE" w:rsidRDefault="00427B4E" w:rsidP="00527D01">
      <w:pPr>
        <w:pStyle w:val="Heading3"/>
      </w:pPr>
      <w:r w:rsidRPr="001E29AE">
        <w:br w:type="column"/>
      </w:r>
      <w:r w:rsidR="00527D01" w:rsidRPr="001E29AE">
        <w:t>Proudly funded by</w:t>
      </w:r>
    </w:p>
    <w:p w14:paraId="228F42B2" w14:textId="75256520" w:rsidR="00427B4E" w:rsidRPr="001E29AE" w:rsidRDefault="00427B4E" w:rsidP="00527D01">
      <w:r w:rsidRPr="001E29AE">
        <w:rPr>
          <w:noProof/>
        </w:rPr>
        <w:drawing>
          <wp:inline distT="0" distB="0" distL="0" distR="0" wp14:anchorId="36A57C3B" wp14:editId="4DD1426D">
            <wp:extent cx="796925" cy="863335"/>
            <wp:effectExtent l="0" t="0" r="3175" b="0"/>
            <wp:docPr id="254060964" name="Picture 3" descr="New South Wale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60964" name="Picture 3" descr="New South Wales Government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01967" cy="868797"/>
                    </a:xfrm>
                    <a:prstGeom prst="rect">
                      <a:avLst/>
                    </a:prstGeom>
                  </pic:spPr>
                </pic:pic>
              </a:graphicData>
            </a:graphic>
          </wp:inline>
        </w:drawing>
      </w:r>
    </w:p>
    <w:p w14:paraId="7518ECFB" w14:textId="40128BF0" w:rsidR="00527D01" w:rsidRPr="001E29AE" w:rsidRDefault="00527D01" w:rsidP="00527D01">
      <w:r w:rsidRPr="001E29AE">
        <w:t>Public acknowledgement and disclaimer. This project is proudly funded by the NSW Government’s Pumped Hydro Recoverable Grants Program. The views expressed are not necessarily the views of the NSW Government. The NSW Government does not accept responsibility for any information or advice provided.</w:t>
      </w:r>
    </w:p>
    <w:p w14:paraId="040D5B30" w14:textId="77777777" w:rsidR="003E303F" w:rsidRPr="001E29AE" w:rsidRDefault="003E303F" w:rsidP="003E303F"/>
    <w:sectPr w:rsidR="003E303F" w:rsidRPr="001E29AE" w:rsidSect="00427B4E">
      <w:type w:val="continuous"/>
      <w:pgSz w:w="11906" w:h="16838" w:code="9"/>
      <w:pgMar w:top="567" w:right="737" w:bottom="567" w:left="737" w:header="283" w:footer="34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5C2C" w14:textId="77777777" w:rsidR="008D6061" w:rsidRPr="001E29AE" w:rsidRDefault="008D6061" w:rsidP="006D3730">
      <w:pPr>
        <w:spacing w:before="0" w:after="0"/>
      </w:pPr>
      <w:r w:rsidRPr="001E29AE">
        <w:separator/>
      </w:r>
    </w:p>
  </w:endnote>
  <w:endnote w:type="continuationSeparator" w:id="0">
    <w:p w14:paraId="159D5C19" w14:textId="77777777" w:rsidR="008D6061" w:rsidRPr="001E29AE" w:rsidRDefault="008D6061" w:rsidP="006D3730">
      <w:pPr>
        <w:spacing w:before="0" w:after="0"/>
      </w:pPr>
      <w:r w:rsidRPr="001E29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useoSansRounded-300">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A089" w14:textId="384652D9" w:rsidR="00FC7143" w:rsidRPr="001E29AE" w:rsidRDefault="00C67FEA" w:rsidP="001F4742">
    <w:pPr>
      <w:pStyle w:val="Footer"/>
    </w:pPr>
    <w:r w:rsidRPr="001E29AE">
      <w:rPr>
        <w:noProof/>
      </w:rPr>
      <w:drawing>
        <wp:anchor distT="0" distB="0" distL="114300" distR="114300" simplePos="0" relativeHeight="251658240" behindDoc="1" locked="1" layoutInCell="1" allowOverlap="1" wp14:anchorId="0C537AA6" wp14:editId="427508D7">
          <wp:simplePos x="0" y="0"/>
          <wp:positionH relativeFrom="page">
            <wp:align>left</wp:align>
          </wp:positionH>
          <wp:positionV relativeFrom="page">
            <wp:align>bottom</wp:align>
          </wp:positionV>
          <wp:extent cx="7560000" cy="798687"/>
          <wp:effectExtent l="0" t="0" r="3175" b="1905"/>
          <wp:wrapNone/>
          <wp:docPr id="4506878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784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98687"/>
                  </a:xfrm>
                  <a:prstGeom prst="rect">
                    <a:avLst/>
                  </a:prstGeom>
                </pic:spPr>
              </pic:pic>
            </a:graphicData>
          </a:graphic>
          <wp14:sizeRelH relativeFrom="margin">
            <wp14:pctWidth>0</wp14:pctWidth>
          </wp14:sizeRelH>
          <wp14:sizeRelV relativeFrom="margin">
            <wp14:pctHeight>0</wp14:pctHeight>
          </wp14:sizeRelV>
        </wp:anchor>
      </w:drawing>
    </w:r>
    <w:r w:rsidR="00FC7143" w:rsidRPr="001E29AE">
      <w:tab/>
    </w:r>
    <w:r w:rsidR="001F4742" w:rsidRPr="001E29AE">
      <w:t xml:space="preserve">Page </w:t>
    </w:r>
    <w:r w:rsidR="00FC7143" w:rsidRPr="001E29AE">
      <w:fldChar w:fldCharType="begin"/>
    </w:r>
    <w:r w:rsidR="00FC7143" w:rsidRPr="001E29AE">
      <w:instrText xml:space="preserve"> PAGE   \* MERGEFORMAT </w:instrText>
    </w:r>
    <w:r w:rsidR="00FC7143" w:rsidRPr="001E29AE">
      <w:fldChar w:fldCharType="separate"/>
    </w:r>
    <w:r w:rsidR="00FC7143" w:rsidRPr="001E29AE">
      <w:t>1</w:t>
    </w:r>
    <w:r w:rsidR="00FC7143" w:rsidRPr="001E29A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7B9" w14:textId="7459A7DE" w:rsidR="001F4742" w:rsidRPr="001E29AE" w:rsidRDefault="001F4742" w:rsidP="001F4742">
    <w:pPr>
      <w:pStyle w:val="Footer"/>
    </w:pPr>
    <w:r w:rsidRPr="001E29AE">
      <w:tab/>
      <w:t xml:space="preserve">Page </w:t>
    </w:r>
    <w:r w:rsidRPr="001E29AE">
      <w:fldChar w:fldCharType="begin"/>
    </w:r>
    <w:r w:rsidRPr="001E29AE">
      <w:instrText xml:space="preserve"> PAGE   \* MERGEFORMAT </w:instrText>
    </w:r>
    <w:r w:rsidRPr="001E29AE">
      <w:fldChar w:fldCharType="separate"/>
    </w:r>
    <w:r w:rsidRPr="001E29AE">
      <w:t>2</w:t>
    </w:r>
    <w:r w:rsidRPr="001E29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EBEA" w14:textId="77777777" w:rsidR="008D6061" w:rsidRPr="001E29AE" w:rsidRDefault="008D6061" w:rsidP="006D3730">
      <w:pPr>
        <w:spacing w:before="0" w:after="0"/>
      </w:pPr>
      <w:r w:rsidRPr="001E29AE">
        <w:separator/>
      </w:r>
    </w:p>
  </w:footnote>
  <w:footnote w:type="continuationSeparator" w:id="0">
    <w:p w14:paraId="4CFD93E4" w14:textId="77777777" w:rsidR="008D6061" w:rsidRPr="001E29AE" w:rsidRDefault="008D6061" w:rsidP="006D3730">
      <w:pPr>
        <w:spacing w:before="0" w:after="0"/>
      </w:pPr>
      <w:r w:rsidRPr="001E29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57B" w14:textId="2E45AFEF" w:rsidR="006D3730" w:rsidRPr="001E29AE" w:rsidRDefault="00000000" w:rsidP="006D3730">
    <w:pPr>
      <w:pStyle w:val="Header"/>
    </w:pPr>
    <w:sdt>
      <w:sdtPr>
        <w:alias w:val="Title"/>
        <w:tag w:val=""/>
        <w:id w:val="-1942983556"/>
        <w:placeholder>
          <w:docPart w:val="C746B2247E234DECA75B999670FC2399"/>
        </w:placeholder>
        <w:dataBinding w:prefixMappings="xmlns:ns0='http://purl.org/dc/elements/1.1/' xmlns:ns1='http://schemas.openxmlformats.org/package/2006/metadata/core-properties' " w:xpath="/ns1:coreProperties[1]/ns0:title[1]" w:storeItemID="{6C3C8BC8-F283-45AE-878A-BAB7291924A1}"/>
        <w:text/>
      </w:sdtPr>
      <w:sdtContent>
        <w:r w:rsidR="00B64339" w:rsidRPr="001E29AE">
          <w:t>How community input has informed the Project to date</w:t>
        </w:r>
      </w:sdtContent>
    </w:sdt>
    <w:r w:rsidR="006D3730" w:rsidRPr="001E29AE">
      <w:tab/>
    </w:r>
    <w:r w:rsidR="006D3730" w:rsidRPr="001E29AE">
      <w:rPr>
        <w:noProof/>
        <w:position w:val="-8"/>
      </w:rPr>
      <w:drawing>
        <wp:inline distT="0" distB="0" distL="0" distR="0" wp14:anchorId="291078C1" wp14:editId="5344893A">
          <wp:extent cx="1836000" cy="289867"/>
          <wp:effectExtent l="0" t="0" r="0" b="0"/>
          <wp:docPr id="446297052" name="Picture 4"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97052" name="Picture 4" descr="Energy Australia and EDF Power Solutions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36000" cy="289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66" type="#_x0000_t75" style="width:42.15pt;height:40.1pt;visibility:visible;mso-wrap-style:square" o:bullet="t">
        <v:imagedata r:id="rId1" o:title=""/>
      </v:shape>
    </w:pict>
  </w:numPicBullet>
  <w:numPicBullet w:numPicBulletId="1">
    <w:pict>
      <v:shape id="_x0000_i3167" type="#_x0000_t75" style="width:42.15pt;height:40.1pt;visibility:visible;mso-wrap-style:square" o:bullet="t">
        <v:imagedata r:id="rId2" o:title=""/>
      </v:shape>
    </w:pict>
  </w:numPicBullet>
  <w:abstractNum w:abstractNumId="0" w15:restartNumberingAfterBreak="0">
    <w:nsid w:val="FFFFFF7C"/>
    <w:multiLevelType w:val="singleLevel"/>
    <w:tmpl w:val="FDE27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08E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80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24D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6E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A43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09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2B2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AC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A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0783"/>
    <w:multiLevelType w:val="hybridMultilevel"/>
    <w:tmpl w:val="B3CE9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64916"/>
    <w:multiLevelType w:val="hybridMultilevel"/>
    <w:tmpl w:val="33968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1032A9"/>
    <w:multiLevelType w:val="hybridMultilevel"/>
    <w:tmpl w:val="7368E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A36B35"/>
    <w:multiLevelType w:val="hybridMultilevel"/>
    <w:tmpl w:val="5D92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082F97"/>
    <w:multiLevelType w:val="hybridMultilevel"/>
    <w:tmpl w:val="DF6A8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643EB"/>
    <w:multiLevelType w:val="hybridMultilevel"/>
    <w:tmpl w:val="C68C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A71C67"/>
    <w:multiLevelType w:val="hybridMultilevel"/>
    <w:tmpl w:val="7E562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7A5E8C"/>
    <w:multiLevelType w:val="hybridMultilevel"/>
    <w:tmpl w:val="DC621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F11A73"/>
    <w:multiLevelType w:val="hybridMultilevel"/>
    <w:tmpl w:val="BC58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2374E8"/>
    <w:multiLevelType w:val="hybridMultilevel"/>
    <w:tmpl w:val="9072E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035777">
    <w:abstractNumId w:val="9"/>
  </w:num>
  <w:num w:numId="2" w16cid:durableId="1432092840">
    <w:abstractNumId w:val="7"/>
  </w:num>
  <w:num w:numId="3" w16cid:durableId="627048567">
    <w:abstractNumId w:val="6"/>
  </w:num>
  <w:num w:numId="4" w16cid:durableId="2083597808">
    <w:abstractNumId w:val="5"/>
  </w:num>
  <w:num w:numId="5" w16cid:durableId="1099108457">
    <w:abstractNumId w:val="4"/>
  </w:num>
  <w:num w:numId="6" w16cid:durableId="1281760026">
    <w:abstractNumId w:val="8"/>
  </w:num>
  <w:num w:numId="7" w16cid:durableId="478812149">
    <w:abstractNumId w:val="3"/>
  </w:num>
  <w:num w:numId="8" w16cid:durableId="420103882">
    <w:abstractNumId w:val="2"/>
  </w:num>
  <w:num w:numId="9" w16cid:durableId="1185246027">
    <w:abstractNumId w:val="1"/>
  </w:num>
  <w:num w:numId="10" w16cid:durableId="58484324">
    <w:abstractNumId w:val="0"/>
  </w:num>
  <w:num w:numId="11" w16cid:durableId="117797048">
    <w:abstractNumId w:val="13"/>
  </w:num>
  <w:num w:numId="12" w16cid:durableId="284652987">
    <w:abstractNumId w:val="18"/>
  </w:num>
  <w:num w:numId="13" w16cid:durableId="1018194874">
    <w:abstractNumId w:val="10"/>
  </w:num>
  <w:num w:numId="14" w16cid:durableId="524681459">
    <w:abstractNumId w:val="11"/>
  </w:num>
  <w:num w:numId="15" w16cid:durableId="834419019">
    <w:abstractNumId w:val="15"/>
  </w:num>
  <w:num w:numId="16" w16cid:durableId="1124612698">
    <w:abstractNumId w:val="17"/>
  </w:num>
  <w:num w:numId="17" w16cid:durableId="689797103">
    <w:abstractNumId w:val="19"/>
  </w:num>
  <w:num w:numId="18" w16cid:durableId="143862777">
    <w:abstractNumId w:val="14"/>
  </w:num>
  <w:num w:numId="19" w16cid:durableId="935357617">
    <w:abstractNumId w:val="12"/>
  </w:num>
  <w:num w:numId="20" w16cid:durableId="1675109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2B"/>
    <w:rsid w:val="00007703"/>
    <w:rsid w:val="00026511"/>
    <w:rsid w:val="000C3A2B"/>
    <w:rsid w:val="001A0659"/>
    <w:rsid w:val="001C1C2B"/>
    <w:rsid w:val="001C7122"/>
    <w:rsid w:val="001E274E"/>
    <w:rsid w:val="001E29AE"/>
    <w:rsid w:val="001F4742"/>
    <w:rsid w:val="0021297C"/>
    <w:rsid w:val="003547E9"/>
    <w:rsid w:val="00361BC1"/>
    <w:rsid w:val="003A5847"/>
    <w:rsid w:val="003B2A51"/>
    <w:rsid w:val="003D4189"/>
    <w:rsid w:val="003E024B"/>
    <w:rsid w:val="003E303F"/>
    <w:rsid w:val="0042145F"/>
    <w:rsid w:val="004273E4"/>
    <w:rsid w:val="00427B4E"/>
    <w:rsid w:val="004530EC"/>
    <w:rsid w:val="00463826"/>
    <w:rsid w:val="005065AB"/>
    <w:rsid w:val="00527D01"/>
    <w:rsid w:val="00621B84"/>
    <w:rsid w:val="006D3730"/>
    <w:rsid w:val="00704C32"/>
    <w:rsid w:val="00794AFF"/>
    <w:rsid w:val="007E004E"/>
    <w:rsid w:val="008A64B4"/>
    <w:rsid w:val="008D6061"/>
    <w:rsid w:val="00947265"/>
    <w:rsid w:val="00995EEB"/>
    <w:rsid w:val="00A04A08"/>
    <w:rsid w:val="00A34C65"/>
    <w:rsid w:val="00AF3AE1"/>
    <w:rsid w:val="00B64339"/>
    <w:rsid w:val="00B77BE8"/>
    <w:rsid w:val="00BC1FC6"/>
    <w:rsid w:val="00C47AE9"/>
    <w:rsid w:val="00C679EF"/>
    <w:rsid w:val="00C67FEA"/>
    <w:rsid w:val="00C82A07"/>
    <w:rsid w:val="00D12D24"/>
    <w:rsid w:val="00DD026D"/>
    <w:rsid w:val="00DE25F3"/>
    <w:rsid w:val="00E32781"/>
    <w:rsid w:val="00E9455B"/>
    <w:rsid w:val="00EB757A"/>
    <w:rsid w:val="00F3647F"/>
    <w:rsid w:val="00F968A0"/>
    <w:rsid w:val="00FC7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12B3"/>
  <w15:chartTrackingRefBased/>
  <w15:docId w15:val="{E9A0989D-9995-410C-A6B4-67FBD91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89"/>
  </w:style>
  <w:style w:type="paragraph" w:styleId="Heading1">
    <w:name w:val="heading 1"/>
    <w:basedOn w:val="Normal"/>
    <w:next w:val="Normal"/>
    <w:link w:val="Heading1Char"/>
    <w:uiPriority w:val="9"/>
    <w:qFormat/>
    <w:rsid w:val="006D3730"/>
    <w:pPr>
      <w:keepNext/>
      <w:keepLines/>
      <w:spacing w:before="240" w:line="640" w:lineRule="exact"/>
      <w:outlineLvl w:val="0"/>
    </w:pPr>
    <w:rPr>
      <w:rFonts w:asciiTheme="majorHAnsi" w:eastAsiaTheme="majorEastAsia" w:hAnsiTheme="majorHAnsi" w:cstheme="majorBidi"/>
      <w:b/>
      <w:color w:val="0F8237" w:themeColor="accent1"/>
      <w:sz w:val="60"/>
      <w:szCs w:val="32"/>
    </w:rPr>
  </w:style>
  <w:style w:type="paragraph" w:styleId="Heading2">
    <w:name w:val="heading 2"/>
    <w:basedOn w:val="Normal"/>
    <w:next w:val="Normal"/>
    <w:link w:val="Heading2Char"/>
    <w:uiPriority w:val="9"/>
    <w:unhideWhenUsed/>
    <w:qFormat/>
    <w:rsid w:val="004273E4"/>
    <w:pPr>
      <w:keepNext/>
      <w:keepLines/>
      <w:spacing w:before="240" w:after="120"/>
      <w:outlineLvl w:val="1"/>
    </w:pPr>
    <w:rPr>
      <w:rFonts w:asciiTheme="majorHAnsi" w:eastAsiaTheme="majorEastAsia" w:hAnsiTheme="majorHAnsi" w:cstheme="majorBidi"/>
      <w:b/>
      <w:color w:val="0F8237" w:themeColor="accent1"/>
      <w:sz w:val="34"/>
      <w:szCs w:val="26"/>
    </w:rPr>
  </w:style>
  <w:style w:type="paragraph" w:styleId="Heading3">
    <w:name w:val="heading 3"/>
    <w:basedOn w:val="Normal"/>
    <w:next w:val="Normal"/>
    <w:link w:val="Heading3Char"/>
    <w:uiPriority w:val="9"/>
    <w:semiHidden/>
    <w:unhideWhenUsed/>
    <w:qFormat/>
    <w:rsid w:val="004273E4"/>
    <w:pPr>
      <w:keepNext/>
      <w:keepLines/>
      <w:spacing w:before="240" w:after="120"/>
      <w:outlineLvl w:val="2"/>
    </w:pPr>
    <w:rPr>
      <w:rFonts w:asciiTheme="majorHAnsi" w:eastAsiaTheme="majorEastAsia" w:hAnsiTheme="majorHAnsi" w:cstheme="majorBidi"/>
      <w:b/>
      <w:color w:val="0F8237" w:themeColor="accent1"/>
      <w:sz w:val="24"/>
      <w:szCs w:val="24"/>
    </w:rPr>
  </w:style>
  <w:style w:type="paragraph" w:styleId="Heading4">
    <w:name w:val="heading 4"/>
    <w:basedOn w:val="Normal"/>
    <w:next w:val="Normal"/>
    <w:link w:val="Heading4Char"/>
    <w:uiPriority w:val="9"/>
    <w:semiHidden/>
    <w:unhideWhenUsed/>
    <w:qFormat/>
    <w:rsid w:val="000C3A2B"/>
    <w:pPr>
      <w:keepNext/>
      <w:keepLines/>
      <w:spacing w:before="80" w:after="40"/>
      <w:outlineLvl w:val="3"/>
    </w:pPr>
    <w:rPr>
      <w:rFonts w:eastAsiaTheme="majorEastAsia" w:cstheme="majorBidi"/>
      <w:i/>
      <w:iCs/>
      <w:color w:val="0B6128" w:themeColor="accent1" w:themeShade="BF"/>
    </w:rPr>
  </w:style>
  <w:style w:type="paragraph" w:styleId="Heading5">
    <w:name w:val="heading 5"/>
    <w:basedOn w:val="Normal"/>
    <w:next w:val="Normal"/>
    <w:link w:val="Heading5Char"/>
    <w:uiPriority w:val="9"/>
    <w:semiHidden/>
    <w:unhideWhenUsed/>
    <w:qFormat/>
    <w:rsid w:val="000C3A2B"/>
    <w:pPr>
      <w:keepNext/>
      <w:keepLines/>
      <w:spacing w:before="80" w:after="40"/>
      <w:outlineLvl w:val="4"/>
    </w:pPr>
    <w:rPr>
      <w:rFonts w:eastAsiaTheme="majorEastAsia" w:cstheme="majorBidi"/>
      <w:color w:val="0B6128" w:themeColor="accent1" w:themeShade="BF"/>
    </w:rPr>
  </w:style>
  <w:style w:type="paragraph" w:styleId="Heading6">
    <w:name w:val="heading 6"/>
    <w:basedOn w:val="Normal"/>
    <w:next w:val="Normal"/>
    <w:link w:val="Heading6Char"/>
    <w:uiPriority w:val="9"/>
    <w:semiHidden/>
    <w:unhideWhenUsed/>
    <w:qFormat/>
    <w:rsid w:val="000C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A2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A2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30"/>
    <w:rPr>
      <w:rFonts w:asciiTheme="majorHAnsi" w:eastAsiaTheme="majorEastAsia" w:hAnsiTheme="majorHAnsi" w:cstheme="majorBidi"/>
      <w:b/>
      <w:color w:val="0F8237" w:themeColor="accent1"/>
      <w:sz w:val="60"/>
      <w:szCs w:val="32"/>
    </w:rPr>
  </w:style>
  <w:style w:type="character" w:customStyle="1" w:styleId="Heading2Char">
    <w:name w:val="Heading 2 Char"/>
    <w:basedOn w:val="DefaultParagraphFont"/>
    <w:link w:val="Heading2"/>
    <w:uiPriority w:val="9"/>
    <w:rsid w:val="004273E4"/>
    <w:rPr>
      <w:rFonts w:asciiTheme="majorHAnsi" w:eastAsiaTheme="majorEastAsia" w:hAnsiTheme="majorHAnsi" w:cstheme="majorBidi"/>
      <w:b/>
      <w:color w:val="0F8237" w:themeColor="accent1"/>
      <w:sz w:val="34"/>
      <w:szCs w:val="26"/>
    </w:rPr>
  </w:style>
  <w:style w:type="character" w:customStyle="1" w:styleId="Heading3Char">
    <w:name w:val="Heading 3 Char"/>
    <w:basedOn w:val="DefaultParagraphFont"/>
    <w:link w:val="Heading3"/>
    <w:uiPriority w:val="9"/>
    <w:semiHidden/>
    <w:rsid w:val="004273E4"/>
    <w:rPr>
      <w:rFonts w:asciiTheme="majorHAnsi" w:eastAsiaTheme="majorEastAsia" w:hAnsiTheme="majorHAnsi" w:cstheme="majorBidi"/>
      <w:b/>
      <w:color w:val="0F8237" w:themeColor="accent1"/>
      <w:sz w:val="24"/>
      <w:szCs w:val="24"/>
    </w:rPr>
  </w:style>
  <w:style w:type="character" w:customStyle="1" w:styleId="Heading4Char">
    <w:name w:val="Heading 4 Char"/>
    <w:basedOn w:val="DefaultParagraphFont"/>
    <w:link w:val="Heading4"/>
    <w:uiPriority w:val="9"/>
    <w:semiHidden/>
    <w:rsid w:val="000C3A2B"/>
    <w:rPr>
      <w:rFonts w:eastAsiaTheme="majorEastAsia" w:cstheme="majorBidi"/>
      <w:i/>
      <w:iCs/>
      <w:color w:val="0B6128" w:themeColor="accent1" w:themeShade="BF"/>
    </w:rPr>
  </w:style>
  <w:style w:type="character" w:customStyle="1" w:styleId="Heading5Char">
    <w:name w:val="Heading 5 Char"/>
    <w:basedOn w:val="DefaultParagraphFont"/>
    <w:link w:val="Heading5"/>
    <w:uiPriority w:val="9"/>
    <w:semiHidden/>
    <w:rsid w:val="000C3A2B"/>
    <w:rPr>
      <w:rFonts w:eastAsiaTheme="majorEastAsia" w:cstheme="majorBidi"/>
      <w:color w:val="0B6128" w:themeColor="accent1" w:themeShade="BF"/>
    </w:rPr>
  </w:style>
  <w:style w:type="character" w:customStyle="1" w:styleId="Heading6Char">
    <w:name w:val="Heading 6 Char"/>
    <w:basedOn w:val="DefaultParagraphFont"/>
    <w:link w:val="Heading6"/>
    <w:uiPriority w:val="9"/>
    <w:semiHidden/>
    <w:rsid w:val="000C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A2B"/>
    <w:rPr>
      <w:rFonts w:eastAsiaTheme="majorEastAsia" w:cstheme="majorBidi"/>
      <w:color w:val="272727" w:themeColor="text1" w:themeTint="D8"/>
    </w:rPr>
  </w:style>
  <w:style w:type="paragraph" w:styleId="Title">
    <w:name w:val="Title"/>
    <w:basedOn w:val="Normal"/>
    <w:next w:val="Normal"/>
    <w:link w:val="TitleChar"/>
    <w:uiPriority w:val="10"/>
    <w:qFormat/>
    <w:rsid w:val="007E004E"/>
    <w:pPr>
      <w:spacing w:before="0" w:after="1280"/>
      <w:contextualSpacing/>
      <w:outlineLvl w:val="0"/>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7E004E"/>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7E004E"/>
    <w:pPr>
      <w:spacing w:before="600" w:after="0"/>
    </w:pPr>
    <w:rPr>
      <w:color w:val="8BC748" w:themeColor="accent2"/>
      <w:sz w:val="38"/>
    </w:rPr>
  </w:style>
  <w:style w:type="character" w:customStyle="1" w:styleId="SubtitleChar">
    <w:name w:val="Subtitle Char"/>
    <w:basedOn w:val="DefaultParagraphFont"/>
    <w:link w:val="Subtitle"/>
    <w:uiPriority w:val="11"/>
    <w:rsid w:val="007E004E"/>
    <w:rPr>
      <w:color w:val="8BC748" w:themeColor="accent2"/>
      <w:sz w:val="38"/>
    </w:rPr>
  </w:style>
  <w:style w:type="paragraph" w:styleId="Quote">
    <w:name w:val="Quote"/>
    <w:basedOn w:val="Normal"/>
    <w:next w:val="Normal"/>
    <w:link w:val="QuoteChar"/>
    <w:uiPriority w:val="29"/>
    <w:qFormat/>
    <w:rsid w:val="000C3A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A2B"/>
    <w:rPr>
      <w:i/>
      <w:iCs/>
      <w:color w:val="404040" w:themeColor="text1" w:themeTint="BF"/>
    </w:rPr>
  </w:style>
  <w:style w:type="paragraph" w:styleId="ListParagraph">
    <w:name w:val="List Paragraph"/>
    <w:basedOn w:val="Normal"/>
    <w:uiPriority w:val="34"/>
    <w:qFormat/>
    <w:rsid w:val="000C3A2B"/>
    <w:pPr>
      <w:ind w:left="720"/>
      <w:contextualSpacing/>
    </w:pPr>
  </w:style>
  <w:style w:type="character" w:styleId="IntenseEmphasis">
    <w:name w:val="Intense Emphasis"/>
    <w:basedOn w:val="DefaultParagraphFont"/>
    <w:uiPriority w:val="21"/>
    <w:qFormat/>
    <w:rsid w:val="000C3A2B"/>
    <w:rPr>
      <w:i/>
      <w:iCs/>
      <w:color w:val="0B6128" w:themeColor="accent1" w:themeShade="BF"/>
    </w:rPr>
  </w:style>
  <w:style w:type="paragraph" w:styleId="IntenseQuote">
    <w:name w:val="Intense Quote"/>
    <w:basedOn w:val="Normal"/>
    <w:next w:val="Normal"/>
    <w:link w:val="IntenseQuoteChar"/>
    <w:uiPriority w:val="30"/>
    <w:qFormat/>
    <w:rsid w:val="000C3A2B"/>
    <w:pPr>
      <w:pBdr>
        <w:top w:val="single" w:sz="4" w:space="10" w:color="0B6128" w:themeColor="accent1" w:themeShade="BF"/>
        <w:bottom w:val="single" w:sz="4" w:space="10" w:color="0B6128" w:themeColor="accent1" w:themeShade="BF"/>
      </w:pBdr>
      <w:spacing w:before="360" w:after="360"/>
      <w:ind w:left="864" w:right="864"/>
      <w:jc w:val="center"/>
    </w:pPr>
    <w:rPr>
      <w:i/>
      <w:iCs/>
      <w:color w:val="0B6128" w:themeColor="accent1" w:themeShade="BF"/>
    </w:rPr>
  </w:style>
  <w:style w:type="character" w:customStyle="1" w:styleId="IntenseQuoteChar">
    <w:name w:val="Intense Quote Char"/>
    <w:basedOn w:val="DefaultParagraphFont"/>
    <w:link w:val="IntenseQuote"/>
    <w:uiPriority w:val="30"/>
    <w:rsid w:val="000C3A2B"/>
    <w:rPr>
      <w:i/>
      <w:iCs/>
      <w:color w:val="0B6128" w:themeColor="accent1" w:themeShade="BF"/>
    </w:rPr>
  </w:style>
  <w:style w:type="character" w:styleId="IntenseReference">
    <w:name w:val="Intense Reference"/>
    <w:basedOn w:val="DefaultParagraphFont"/>
    <w:uiPriority w:val="32"/>
    <w:qFormat/>
    <w:rsid w:val="000C3A2B"/>
    <w:rPr>
      <w:b/>
      <w:bCs/>
      <w:smallCaps/>
      <w:color w:val="0B6128" w:themeColor="accent1" w:themeShade="BF"/>
      <w:spacing w:val="5"/>
    </w:rPr>
  </w:style>
  <w:style w:type="paragraph" w:styleId="TOCHeading">
    <w:name w:val="TOC Heading"/>
    <w:basedOn w:val="Heading1"/>
    <w:next w:val="Normal"/>
    <w:uiPriority w:val="39"/>
    <w:unhideWhenUsed/>
    <w:qFormat/>
    <w:rsid w:val="003B2A51"/>
    <w:pPr>
      <w:spacing w:line="259" w:lineRule="auto"/>
      <w:outlineLvl w:val="9"/>
    </w:pPr>
    <w:rPr>
      <w:color w:val="00532B" w:themeColor="text2"/>
      <w:sz w:val="34"/>
      <w:lang w:val="en-US"/>
    </w:rPr>
  </w:style>
  <w:style w:type="paragraph" w:styleId="TOC1">
    <w:name w:val="toc 1"/>
    <w:basedOn w:val="Normal"/>
    <w:next w:val="Normal"/>
    <w:autoRedefine/>
    <w:uiPriority w:val="39"/>
    <w:unhideWhenUsed/>
    <w:rsid w:val="006D3730"/>
    <w:pPr>
      <w:tabs>
        <w:tab w:val="right" w:leader="dot" w:pos="10433"/>
      </w:tabs>
      <w:spacing w:after="100"/>
    </w:pPr>
    <w:rPr>
      <w:b/>
    </w:rPr>
  </w:style>
  <w:style w:type="table" w:styleId="ListTable4">
    <w:name w:val="List Table 4"/>
    <w:basedOn w:val="TableNormal"/>
    <w:uiPriority w:val="49"/>
    <w:rsid w:val="003E303F"/>
    <w:pPr>
      <w:spacing w:before="0" w:after="0"/>
    </w:pPr>
    <w:rPr>
      <w:rFonts w:eastAsiaTheme="minorEastAsia"/>
      <w:color w:val="auto"/>
      <w:kern w:val="2"/>
      <w:sz w:val="24"/>
      <w:szCs w:val="24"/>
      <w:lang w:eastAsia="en-AU"/>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2Shaded">
    <w:name w:val="Heading 2 Shaded"/>
    <w:basedOn w:val="Heading2"/>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Header">
    <w:name w:val="header"/>
    <w:basedOn w:val="Normal"/>
    <w:link w:val="HeaderChar"/>
    <w:uiPriority w:val="99"/>
    <w:unhideWhenUsed/>
    <w:rsid w:val="006D3730"/>
    <w:pPr>
      <w:pBdr>
        <w:bottom w:val="single" w:sz="4" w:space="12" w:color="00532B" w:themeColor="text2"/>
      </w:pBdr>
      <w:tabs>
        <w:tab w:val="right" w:pos="10433"/>
      </w:tabs>
      <w:spacing w:before="0" w:after="240"/>
    </w:pPr>
    <w:rPr>
      <w:color w:val="00532B" w:themeColor="text2"/>
    </w:rPr>
  </w:style>
  <w:style w:type="character" w:customStyle="1" w:styleId="HeaderChar">
    <w:name w:val="Header Char"/>
    <w:basedOn w:val="DefaultParagraphFont"/>
    <w:link w:val="Header"/>
    <w:uiPriority w:val="99"/>
    <w:rsid w:val="006D3730"/>
    <w:rPr>
      <w:color w:val="00532B" w:themeColor="text2"/>
    </w:rPr>
  </w:style>
  <w:style w:type="paragraph" w:styleId="Footer">
    <w:name w:val="footer"/>
    <w:basedOn w:val="Normal"/>
    <w:link w:val="FooterChar"/>
    <w:uiPriority w:val="99"/>
    <w:unhideWhenUsed/>
    <w:rsid w:val="006D3730"/>
    <w:pPr>
      <w:tabs>
        <w:tab w:val="right" w:pos="10433"/>
      </w:tabs>
      <w:spacing w:before="0" w:after="0"/>
    </w:pPr>
  </w:style>
  <w:style w:type="character" w:customStyle="1" w:styleId="FooterChar">
    <w:name w:val="Footer Char"/>
    <w:basedOn w:val="DefaultParagraphFont"/>
    <w:link w:val="Footer"/>
    <w:uiPriority w:val="99"/>
    <w:rsid w:val="006D3730"/>
  </w:style>
  <w:style w:type="paragraph" w:styleId="TOC2">
    <w:name w:val="toc 2"/>
    <w:basedOn w:val="Normal"/>
    <w:next w:val="Normal"/>
    <w:autoRedefine/>
    <w:uiPriority w:val="39"/>
    <w:unhideWhenUsed/>
    <w:rsid w:val="00C679EF"/>
    <w:pPr>
      <w:tabs>
        <w:tab w:val="right" w:pos="10433"/>
      </w:tabs>
      <w:spacing w:after="100"/>
    </w:pPr>
  </w:style>
  <w:style w:type="character" w:styleId="Hyperlink">
    <w:name w:val="Hyperlink"/>
    <w:basedOn w:val="DefaultParagraphFont"/>
    <w:uiPriority w:val="99"/>
    <w:unhideWhenUsed/>
    <w:rsid w:val="006D3730"/>
    <w:rPr>
      <w:color w:val="00532B" w:themeColor="hyperlink"/>
      <w:u w:val="single"/>
    </w:rPr>
  </w:style>
  <w:style w:type="paragraph" w:customStyle="1" w:styleId="ImageCaption">
    <w:name w:val="Image Caption"/>
    <w:basedOn w:val="Normal"/>
    <w:uiPriority w:val="99"/>
    <w:qFormat/>
    <w:rsid w:val="00527D01"/>
    <w:rPr>
      <w:i/>
      <w:color w:val="00532B" w:themeColor="text2"/>
      <w:sz w:val="18"/>
    </w:rPr>
  </w:style>
  <w:style w:type="character" w:styleId="Strong">
    <w:name w:val="Strong"/>
    <w:basedOn w:val="DefaultParagraphFont"/>
    <w:uiPriority w:val="22"/>
    <w:qFormat/>
    <w:rsid w:val="006D3730"/>
    <w:rPr>
      <w:b/>
      <w:bCs/>
    </w:rPr>
  </w:style>
  <w:style w:type="table" w:styleId="GridTable4">
    <w:name w:val="Grid Table 4"/>
    <w:basedOn w:val="TableNormal"/>
    <w:uiPriority w:val="49"/>
    <w:rsid w:val="00FC71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dGreen">
    <w:name w:val="Mid Green"/>
    <w:basedOn w:val="DefaultParagraphFont"/>
    <w:uiPriority w:val="1"/>
    <w:qFormat/>
    <w:rsid w:val="00A34C65"/>
    <w:rPr>
      <w:color w:val="0F8237" w:themeColor="accent1"/>
    </w:rPr>
  </w:style>
  <w:style w:type="paragraph" w:customStyle="1" w:styleId="Heading1Shaded">
    <w:name w:val="Heading 1 Shaded"/>
    <w:basedOn w:val="Heading1"/>
    <w:uiPriority w:val="9"/>
    <w:qFormat/>
    <w:rsid w:val="003D4189"/>
    <w:pPr>
      <w:pBdr>
        <w:top w:val="single" w:sz="4" w:space="3" w:color="00532B" w:themeColor="text2"/>
        <w:left w:val="single" w:sz="4" w:space="3" w:color="00532B" w:themeColor="text2"/>
        <w:bottom w:val="single" w:sz="4" w:space="3" w:color="00532B" w:themeColor="text2"/>
        <w:right w:val="single" w:sz="4" w:space="3" w:color="00532B" w:themeColor="text2"/>
      </w:pBdr>
      <w:shd w:val="clear" w:color="auto" w:fill="00532B" w:themeFill="text2"/>
      <w:spacing w:after="120" w:line="240" w:lineRule="auto"/>
      <w:ind w:left="113" w:right="113"/>
    </w:pPr>
    <w:rPr>
      <w:color w:val="FFFFFF" w:themeColor="background1"/>
      <w:sz w:val="28"/>
    </w:rPr>
  </w:style>
  <w:style w:type="paragraph" w:customStyle="1" w:styleId="AcknowledgementH2Shaded">
    <w:name w:val="Acknowledgement H2 Shaded"/>
    <w:basedOn w:val="Heading2"/>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pPr>
    <w:rPr>
      <w:color w:val="00532B" w:themeColor="text2"/>
    </w:rPr>
  </w:style>
  <w:style w:type="paragraph" w:customStyle="1" w:styleId="AcknowledgementText">
    <w:name w:val="Acknowledgement Text"/>
    <w:basedOn w:val="Normal"/>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spacing w:after="480"/>
    </w:pPr>
  </w:style>
  <w:style w:type="character" w:styleId="PlaceholderText">
    <w:name w:val="Placeholder Text"/>
    <w:basedOn w:val="DefaultParagraphFont"/>
    <w:uiPriority w:val="99"/>
    <w:semiHidden/>
    <w:rsid w:val="00527D01"/>
    <w:rPr>
      <w:color w:val="666666"/>
    </w:rPr>
  </w:style>
  <w:style w:type="paragraph" w:customStyle="1" w:styleId="NormalShadedLightGreen">
    <w:name w:val="Normal Shaded Light Green"/>
    <w:basedOn w:val="Normal"/>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TOC3">
    <w:name w:val="toc 3"/>
    <w:basedOn w:val="Normal"/>
    <w:next w:val="Normal"/>
    <w:autoRedefine/>
    <w:uiPriority w:val="39"/>
    <w:unhideWhenUsed/>
    <w:rsid w:val="00C679EF"/>
    <w:pPr>
      <w:spacing w:after="100"/>
      <w:ind w:left="400"/>
    </w:pPr>
  </w:style>
  <w:style w:type="table" w:styleId="ListTable3-Accent3">
    <w:name w:val="List Table 3 Accent 3"/>
    <w:basedOn w:val="TableNormal"/>
    <w:uiPriority w:val="48"/>
    <w:rsid w:val="00B64339"/>
    <w:pPr>
      <w:spacing w:after="0"/>
    </w:pPr>
    <w:tblPr>
      <w:tblStyleRowBandSize w:val="1"/>
      <w:tblStyleColBandSize w:val="1"/>
      <w:tblBorders>
        <w:top w:val="single" w:sz="4" w:space="0" w:color="00532B" w:themeColor="accent3"/>
        <w:left w:val="single" w:sz="4" w:space="0" w:color="00532B" w:themeColor="accent3"/>
        <w:bottom w:val="single" w:sz="4" w:space="0" w:color="00532B" w:themeColor="accent3"/>
        <w:right w:val="single" w:sz="4" w:space="0" w:color="00532B" w:themeColor="accent3"/>
      </w:tblBorders>
    </w:tblPr>
    <w:tblStylePr w:type="firstRow">
      <w:rPr>
        <w:b/>
        <w:bCs/>
        <w:color w:val="FFFFFF" w:themeColor="background1"/>
      </w:rPr>
      <w:tblPr/>
      <w:tcPr>
        <w:shd w:val="clear" w:color="auto" w:fill="00532B" w:themeFill="accent3"/>
      </w:tcPr>
    </w:tblStylePr>
    <w:tblStylePr w:type="lastRow">
      <w:rPr>
        <w:b/>
        <w:bCs/>
      </w:rPr>
      <w:tblPr/>
      <w:tcPr>
        <w:tcBorders>
          <w:top w:val="double" w:sz="4" w:space="0" w:color="005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2B" w:themeColor="accent3"/>
          <w:right w:val="single" w:sz="4" w:space="0" w:color="00532B" w:themeColor="accent3"/>
        </w:tcBorders>
      </w:tcPr>
    </w:tblStylePr>
    <w:tblStylePr w:type="band1Horz">
      <w:tblPr/>
      <w:tcPr>
        <w:tcBorders>
          <w:top w:val="single" w:sz="4" w:space="0" w:color="00532B" w:themeColor="accent3"/>
          <w:bottom w:val="single" w:sz="4" w:space="0" w:color="005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2B" w:themeColor="accent3"/>
          <w:left w:val="nil"/>
        </w:tcBorders>
      </w:tcPr>
    </w:tblStylePr>
    <w:tblStylePr w:type="swCell">
      <w:tblPr/>
      <w:tcPr>
        <w:tcBorders>
          <w:top w:val="double" w:sz="4" w:space="0" w:color="00532B"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oter" Target="foot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lakelyellpumpedhydro.com.au"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ommunity%40EnergyAustralia.com.au?sub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lakelyellpumpedhydro.com.au" TargetMode="External"/><Relationship Id="rId22" Type="http://schemas.openxmlformats.org/officeDocument/2006/relationships/image" Target="media/image13.png"/><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2343E3D2B4F769CB4E06940B9791C"/>
        <w:category>
          <w:name w:val="General"/>
          <w:gallery w:val="placeholder"/>
        </w:category>
        <w:types>
          <w:type w:val="bbPlcHdr"/>
        </w:types>
        <w:behaviors>
          <w:behavior w:val="content"/>
        </w:behaviors>
        <w:guid w:val="{95F3AB1D-D40C-4D0E-B13B-6B019B0BCE1F}"/>
      </w:docPartPr>
      <w:docPartBody>
        <w:p w:rsidR="00D31965" w:rsidRDefault="006A3E3A">
          <w:r w:rsidRPr="00B13821">
            <w:rPr>
              <w:rStyle w:val="PlaceholderText"/>
            </w:rPr>
            <w:t>[Title]</w:t>
          </w:r>
        </w:p>
      </w:docPartBody>
    </w:docPart>
    <w:docPart>
      <w:docPartPr>
        <w:name w:val="C746B2247E234DECA75B999670FC2399"/>
        <w:category>
          <w:name w:val="General"/>
          <w:gallery w:val="placeholder"/>
        </w:category>
        <w:types>
          <w:type w:val="bbPlcHdr"/>
        </w:types>
        <w:behaviors>
          <w:behavior w:val="content"/>
        </w:behaviors>
        <w:guid w:val="{39431208-F1ED-4BF5-9435-F24256465B0A}"/>
      </w:docPartPr>
      <w:docPartBody>
        <w:p w:rsidR="00D31965" w:rsidRDefault="006A3E3A">
          <w:r w:rsidRPr="00B138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useoSansRounded-300">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3A"/>
    <w:rsid w:val="002B306B"/>
    <w:rsid w:val="00375A54"/>
    <w:rsid w:val="006118AD"/>
    <w:rsid w:val="006A3E3A"/>
    <w:rsid w:val="00932EA6"/>
    <w:rsid w:val="00995EEB"/>
    <w:rsid w:val="00B214FC"/>
    <w:rsid w:val="00D31965"/>
    <w:rsid w:val="00D95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ergy Australia Nov 2025">
      <a:dk1>
        <a:sysClr val="windowText" lastClr="000000"/>
      </a:dk1>
      <a:lt1>
        <a:sysClr val="window" lastClr="FFFFFF"/>
      </a:lt1>
      <a:dk2>
        <a:srgbClr val="00532B"/>
      </a:dk2>
      <a:lt2>
        <a:srgbClr val="F1F1F1"/>
      </a:lt2>
      <a:accent1>
        <a:srgbClr val="0F8237"/>
      </a:accent1>
      <a:accent2>
        <a:srgbClr val="8BC748"/>
      </a:accent2>
      <a:accent3>
        <a:srgbClr val="00532B"/>
      </a:accent3>
      <a:accent4>
        <a:srgbClr val="F0F6E8"/>
      </a:accent4>
      <a:accent5>
        <a:srgbClr val="F15B22"/>
      </a:accent5>
      <a:accent6>
        <a:srgbClr val="192E7C"/>
      </a:accent6>
      <a:hlink>
        <a:srgbClr val="00532B"/>
      </a:hlink>
      <a:folHlink>
        <a:srgbClr val="00532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31BA3CA8865444AF18CF38E349C447" ma:contentTypeVersion="14" ma:contentTypeDescription="Create a new document." ma:contentTypeScope="" ma:versionID="c5b5c7089f7c9b39bebced2fe610be80">
  <xsd:schema xmlns:xsd="http://www.w3.org/2001/XMLSchema" xmlns:xs="http://www.w3.org/2001/XMLSchema" xmlns:p="http://schemas.microsoft.com/office/2006/metadata/properties" xmlns:ns2="2e627be9-66ac-4b53-90bd-a9facf9e2265" xmlns:ns3="814c213f-c985-4ca6-b286-2fd11628c5d3" targetNamespace="http://schemas.microsoft.com/office/2006/metadata/properties" ma:root="true" ma:fieldsID="741ac69b912c124b7d23b25c74b5b0fd" ns2:_="" ns3:_="">
    <xsd:import namespace="2e627be9-66ac-4b53-90bd-a9facf9e2265"/>
    <xsd:import namespace="814c213f-c985-4ca6-b286-2fd11628c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be9-66ac-4b53-90bd-a9facf9e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dbc27b-4dee-4600-93a6-6ecf93ad7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c213f-c985-4ca6-b286-2fd11628c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0c055-0803-4ea5-b58b-6e35b16cbaf1}" ma:internalName="TaxCatchAll" ma:showField="CatchAllData" ma:web="814c213f-c985-4ca6-b286-2fd11628c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4c213f-c985-4ca6-b286-2fd11628c5d3" xsi:nil="true"/>
    <lcf76f155ced4ddcb4097134ff3c332f xmlns="2e627be9-66ac-4b53-90bd-a9facf9e2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51861-E511-433B-ADB7-0940EFA423D4}">
  <ds:schemaRefs>
    <ds:schemaRef ds:uri="http://schemas.openxmlformats.org/officeDocument/2006/bibliography"/>
  </ds:schemaRefs>
</ds:datastoreItem>
</file>

<file path=customXml/itemProps2.xml><?xml version="1.0" encoding="utf-8"?>
<ds:datastoreItem xmlns:ds="http://schemas.openxmlformats.org/officeDocument/2006/customXml" ds:itemID="{29E35EC2-D6E0-4A25-874A-A4342AC31ED4}"/>
</file>

<file path=customXml/itemProps3.xml><?xml version="1.0" encoding="utf-8"?>
<ds:datastoreItem xmlns:ds="http://schemas.openxmlformats.org/officeDocument/2006/customXml" ds:itemID="{8B6B7175-6502-4633-9B05-C45BEDC8EB43}"/>
</file>

<file path=customXml/itemProps4.xml><?xml version="1.0" encoding="utf-8"?>
<ds:datastoreItem xmlns:ds="http://schemas.openxmlformats.org/officeDocument/2006/customXml" ds:itemID="{DA34BF16-B504-47C0-8520-A56FB86F5CEA}"/>
</file>

<file path=docProps/app.xml><?xml version="1.0" encoding="utf-8"?>
<Properties xmlns="http://schemas.openxmlformats.org/officeDocument/2006/extended-properties" xmlns:vt="http://schemas.openxmlformats.org/officeDocument/2006/docPropsVTypes">
  <Template>Normal.dotm</Template>
  <TotalTime>0</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Biodiversity</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community input has informed the Project to date</dc:title>
  <dc:subject/>
  <dc:creator>Energy Australia;EDF Power Solutions</dc:creator>
  <cp:keywords/>
  <dc:description/>
  <cp:lastModifiedBy>Ben Fulford</cp:lastModifiedBy>
  <cp:revision>5</cp:revision>
  <dcterms:created xsi:type="dcterms:W3CDTF">2025-11-06T01:21:00Z</dcterms:created>
  <dcterms:modified xsi:type="dcterms:W3CDTF">2025-11-06T23:23:00Z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0x0101005631BA3CA8865444AF18CF38E349C447</vt:lpwstr>
  </property>
</Properties>
</file>